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tblInd w:w="-5" w:type="dxa"/>
        <w:tblLayout w:type="fixed"/>
        <w:tblLook w:val="04A0" w:firstRow="1" w:lastRow="0" w:firstColumn="1" w:lastColumn="0" w:noHBand="0" w:noVBand="1"/>
      </w:tblPr>
      <w:tblGrid>
        <w:gridCol w:w="7015"/>
        <w:gridCol w:w="2340"/>
      </w:tblGrid>
      <w:tr w:rsidR="0066207B" w14:paraId="3DED8797" w14:textId="77777777" w:rsidTr="00853F4F">
        <w:tc>
          <w:tcPr>
            <w:tcW w:w="9355" w:type="dxa"/>
            <w:gridSpan w:val="2"/>
          </w:tcPr>
          <w:p w14:paraId="49143587" w14:textId="4AB50993" w:rsidR="0066207B" w:rsidRDefault="00570108" w:rsidP="00367254">
            <w:pPr>
              <w:spacing w:before="60"/>
              <w:jc w:val="center"/>
            </w:pPr>
            <w:r>
              <w:rPr>
                <w:noProof/>
              </w:rPr>
              <w:drawing>
                <wp:inline distT="0" distB="0" distL="0" distR="0" wp14:anchorId="1E3D3514" wp14:editId="4EC8E435">
                  <wp:extent cx="703385" cy="228600"/>
                  <wp:effectExtent l="0" t="0" r="1905" b="0"/>
                  <wp:docPr id="21233265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3202"/>
                          <a:stretch/>
                        </pic:blipFill>
                        <pic:spPr bwMode="auto">
                          <a:xfrm>
                            <a:off x="0" y="0"/>
                            <a:ext cx="703385" cy="228600"/>
                          </a:xfrm>
                          <a:prstGeom prst="rect">
                            <a:avLst/>
                          </a:prstGeom>
                          <a:noFill/>
                          <a:ln>
                            <a:noFill/>
                          </a:ln>
                          <a:extLst>
                            <a:ext uri="{53640926-AAD7-44D8-BBD7-CCE9431645EC}">
                              <a14:shadowObscured xmlns:a14="http://schemas.microsoft.com/office/drawing/2010/main"/>
                            </a:ext>
                          </a:extLst>
                        </pic:spPr>
                      </pic:pic>
                    </a:graphicData>
                  </a:graphic>
                </wp:inline>
              </w:drawing>
            </w:r>
          </w:p>
          <w:p w14:paraId="78E0404F" w14:textId="43A73520" w:rsidR="0066207B" w:rsidRDefault="00570108" w:rsidP="0066207B">
            <w:pPr>
              <w:jc w:val="center"/>
            </w:pPr>
            <w:r>
              <w:rPr>
                <w:noProof/>
              </w:rPr>
              <w:drawing>
                <wp:inline distT="0" distB="0" distL="0" distR="0" wp14:anchorId="00ADE7E4" wp14:editId="2AA5D272">
                  <wp:extent cx="5713730" cy="838167"/>
                  <wp:effectExtent l="0" t="0" r="0" b="635"/>
                  <wp:docPr id="2" name="Picture 1" descr="Reg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Corner"/>
                          <pic:cNvPicPr>
                            <a:picLocks noChangeAspect="1" noChangeArrowheads="1"/>
                          </pic:cNvPicPr>
                        </pic:nvPicPr>
                        <pic:blipFill rotWithShape="1">
                          <a:blip r:embed="rId6">
                            <a:extLst>
                              <a:ext uri="{28A0092B-C50C-407E-A947-70E740481C1C}">
                                <a14:useLocalDpi xmlns:a14="http://schemas.microsoft.com/office/drawing/2010/main" val="0"/>
                              </a:ext>
                            </a:extLst>
                          </a:blip>
                          <a:srcRect l="4463" t="21342" r="4385" b="25306"/>
                          <a:stretch/>
                        </pic:blipFill>
                        <pic:spPr bwMode="auto">
                          <a:xfrm>
                            <a:off x="0" y="0"/>
                            <a:ext cx="5715000" cy="838353"/>
                          </a:xfrm>
                          <a:prstGeom prst="rect">
                            <a:avLst/>
                          </a:prstGeom>
                          <a:noFill/>
                          <a:ln>
                            <a:noFill/>
                          </a:ln>
                          <a:extLst>
                            <a:ext uri="{53640926-AAD7-44D8-BBD7-CCE9431645EC}">
                              <a14:shadowObscured xmlns:a14="http://schemas.microsoft.com/office/drawing/2010/main"/>
                            </a:ext>
                          </a:extLst>
                        </pic:spPr>
                      </pic:pic>
                    </a:graphicData>
                  </a:graphic>
                </wp:inline>
              </w:drawing>
            </w:r>
          </w:p>
          <w:p w14:paraId="63208A49" w14:textId="339A0B60" w:rsidR="0066207B" w:rsidRPr="0066207B" w:rsidRDefault="002B45CC" w:rsidP="00A5274E">
            <w:pPr>
              <w:spacing w:before="60"/>
              <w:jc w:val="center"/>
              <w:rPr>
                <w:b/>
                <w:bCs/>
                <w:color w:val="2F5496" w:themeColor="accent1" w:themeShade="BF"/>
                <w:sz w:val="28"/>
                <w:szCs w:val="28"/>
              </w:rPr>
            </w:pPr>
            <w:r>
              <w:rPr>
                <w:b/>
                <w:bCs/>
                <w:color w:val="2F5496" w:themeColor="accent1" w:themeShade="BF"/>
                <w:sz w:val="28"/>
                <w:szCs w:val="28"/>
              </w:rPr>
              <w:t>January</w:t>
            </w:r>
            <w:r w:rsidR="0066207B" w:rsidRPr="0066207B">
              <w:rPr>
                <w:b/>
                <w:bCs/>
                <w:color w:val="2F5496" w:themeColor="accent1" w:themeShade="BF"/>
                <w:sz w:val="28"/>
                <w:szCs w:val="28"/>
              </w:rPr>
              <w:t xml:space="preserve"> </w:t>
            </w:r>
            <w:r>
              <w:rPr>
                <w:b/>
                <w:bCs/>
                <w:color w:val="2F5496" w:themeColor="accent1" w:themeShade="BF"/>
                <w:sz w:val="28"/>
                <w:szCs w:val="28"/>
              </w:rPr>
              <w:t>9</w:t>
            </w:r>
            <w:r w:rsidR="00E43371">
              <w:rPr>
                <w:b/>
                <w:bCs/>
                <w:color w:val="2F5496" w:themeColor="accent1" w:themeShade="BF"/>
                <w:sz w:val="28"/>
                <w:szCs w:val="28"/>
              </w:rPr>
              <w:t>th</w:t>
            </w:r>
            <w:r w:rsidR="0066207B" w:rsidRPr="0066207B">
              <w:rPr>
                <w:b/>
                <w:bCs/>
                <w:color w:val="2F5496" w:themeColor="accent1" w:themeShade="BF"/>
                <w:sz w:val="28"/>
                <w:szCs w:val="28"/>
              </w:rPr>
              <w:t>, 202</w:t>
            </w:r>
            <w:r>
              <w:rPr>
                <w:b/>
                <w:bCs/>
                <w:color w:val="2F5496" w:themeColor="accent1" w:themeShade="BF"/>
                <w:sz w:val="28"/>
                <w:szCs w:val="28"/>
              </w:rPr>
              <w:t>4</w:t>
            </w:r>
          </w:p>
          <w:p w14:paraId="442E43D8" w14:textId="42862104" w:rsidR="0066207B" w:rsidRDefault="004E4263" w:rsidP="00C11B42">
            <w:pPr>
              <w:spacing w:before="160" w:after="160"/>
              <w:jc w:val="center"/>
            </w:pPr>
            <w:r>
              <w:t>In this</w:t>
            </w:r>
            <w:r w:rsidR="00234039">
              <w:t xml:space="preserve"> first</w:t>
            </w:r>
            <w:r>
              <w:t xml:space="preserve"> update</w:t>
            </w:r>
            <w:r w:rsidR="00234039">
              <w:t xml:space="preserve"> of the new year</w:t>
            </w:r>
            <w:r>
              <w:t xml:space="preserve">, </w:t>
            </w:r>
            <w:r w:rsidR="00234039">
              <w:t>Tanya Otsuka is sworn in as NCUA Board Member; the CFPB issues asset-size exemption threshold updates for Reg C and Reg Z; 2023 HMDA filing period now open; revised CDFI certification application now available; and response letters are available for five proposed rules.</w:t>
            </w:r>
          </w:p>
        </w:tc>
      </w:tr>
      <w:tr w:rsidR="0066207B" w14:paraId="70C3CA29" w14:textId="77777777" w:rsidTr="00853F4F">
        <w:tc>
          <w:tcPr>
            <w:tcW w:w="9355" w:type="dxa"/>
            <w:gridSpan w:val="2"/>
            <w:shd w:val="clear" w:color="auto" w:fill="4472C4" w:themeFill="accent1"/>
          </w:tcPr>
          <w:p w14:paraId="5C7788B1" w14:textId="179179B4" w:rsidR="0066207B" w:rsidRPr="0066207B" w:rsidRDefault="0066207B" w:rsidP="003C1B13">
            <w:pPr>
              <w:spacing w:before="120" w:after="120"/>
              <w:jc w:val="center"/>
              <w:rPr>
                <w:b/>
                <w:bCs/>
              </w:rPr>
            </w:pPr>
            <w:r w:rsidRPr="0066207B">
              <w:rPr>
                <w:b/>
                <w:bCs/>
                <w:color w:val="FFFFFF" w:themeColor="background1"/>
                <w:sz w:val="28"/>
                <w:szCs w:val="28"/>
              </w:rPr>
              <w:t>From the Regulators</w:t>
            </w:r>
          </w:p>
        </w:tc>
      </w:tr>
      <w:tr w:rsidR="003C1B13" w14:paraId="12987044" w14:textId="77777777" w:rsidTr="00853F4F">
        <w:tc>
          <w:tcPr>
            <w:tcW w:w="9355" w:type="dxa"/>
            <w:gridSpan w:val="2"/>
            <w:shd w:val="clear" w:color="auto" w:fill="ED7D31" w:themeFill="accent2"/>
          </w:tcPr>
          <w:p w14:paraId="222F7B43" w14:textId="0D2E8FF8" w:rsidR="003C1B13" w:rsidRPr="00766443" w:rsidRDefault="003C1B13" w:rsidP="003C1B13">
            <w:pPr>
              <w:spacing w:before="60" w:after="60"/>
              <w:rPr>
                <w:b/>
                <w:bCs/>
              </w:rPr>
            </w:pPr>
            <w:r w:rsidRPr="00766443">
              <w:rPr>
                <w:b/>
                <w:bCs/>
                <w:color w:val="FFFFFF" w:themeColor="background1"/>
                <w:sz w:val="28"/>
                <w:szCs w:val="28"/>
              </w:rPr>
              <w:t>NCUA</w:t>
            </w:r>
          </w:p>
        </w:tc>
      </w:tr>
      <w:tr w:rsidR="0011439F" w14:paraId="168C895B" w14:textId="77777777" w:rsidTr="0011439F">
        <w:tc>
          <w:tcPr>
            <w:tcW w:w="9355" w:type="dxa"/>
            <w:gridSpan w:val="2"/>
            <w:shd w:val="clear" w:color="auto" w:fill="auto"/>
          </w:tcPr>
          <w:p w14:paraId="5738A887" w14:textId="62B71F4B" w:rsidR="0011439F" w:rsidRDefault="0011439F" w:rsidP="0011439F">
            <w:pPr>
              <w:spacing w:before="120" w:after="120"/>
              <w:rPr>
                <w:b/>
                <w:bCs/>
              </w:rPr>
            </w:pPr>
            <w:r>
              <w:rPr>
                <w:b/>
                <w:bCs/>
              </w:rPr>
              <w:t xml:space="preserve">Webinar: </w:t>
            </w:r>
            <w:r w:rsidRPr="0011439F">
              <w:t>Simplified CECL Tool</w:t>
            </w:r>
            <w:r>
              <w:t xml:space="preserve"> Best Practices</w:t>
            </w:r>
          </w:p>
          <w:p w14:paraId="7279B48E" w14:textId="77777777" w:rsidR="0011439F" w:rsidRDefault="0011439F" w:rsidP="0011439F">
            <w:pPr>
              <w:spacing w:before="120" w:after="120"/>
              <w:ind w:left="345"/>
            </w:pPr>
            <w:r w:rsidRPr="0011439F">
              <w:rPr>
                <w:b/>
                <w:bCs/>
              </w:rPr>
              <w:t>Date:</w:t>
            </w:r>
            <w:r>
              <w:t xml:space="preserve"> Thursday, January 11 @ 2pm EST</w:t>
            </w:r>
          </w:p>
          <w:p w14:paraId="18A895EE" w14:textId="449FC942" w:rsidR="0011439F" w:rsidRPr="0011439F" w:rsidRDefault="0011439F" w:rsidP="0011439F">
            <w:pPr>
              <w:spacing w:before="120" w:after="120"/>
              <w:ind w:left="345"/>
            </w:pPr>
            <w:hyperlink r:id="rId7" w:history="1">
              <w:r w:rsidRPr="0011439F">
                <w:rPr>
                  <w:rStyle w:val="Hyperlink"/>
                </w:rPr>
                <w:t>REGISTER</w:t>
              </w:r>
            </w:hyperlink>
          </w:p>
        </w:tc>
      </w:tr>
      <w:tr w:rsidR="0011439F" w14:paraId="51732D23" w14:textId="77777777" w:rsidTr="00853F4F">
        <w:trPr>
          <w:trHeight w:val="440"/>
        </w:trPr>
        <w:tc>
          <w:tcPr>
            <w:tcW w:w="9355" w:type="dxa"/>
            <w:gridSpan w:val="2"/>
          </w:tcPr>
          <w:p w14:paraId="089F19AD" w14:textId="3BEE2242" w:rsidR="0011439F" w:rsidRDefault="0011439F" w:rsidP="0011439F">
            <w:pPr>
              <w:spacing w:before="60" w:after="60"/>
              <w:rPr>
                <w:b/>
                <w:bCs/>
              </w:rPr>
            </w:pPr>
            <w:r w:rsidRPr="00D0122C">
              <w:rPr>
                <w:b/>
                <w:bCs/>
              </w:rPr>
              <w:t>2022 Credit Union Diversity Self-Assessment</w:t>
            </w:r>
            <w:r>
              <w:rPr>
                <w:b/>
                <w:bCs/>
              </w:rPr>
              <w:t xml:space="preserve"> </w:t>
            </w:r>
            <w:r w:rsidRPr="00D0122C">
              <w:rPr>
                <w:b/>
                <w:bCs/>
              </w:rPr>
              <w:t>Results Report is Available</w:t>
            </w:r>
          </w:p>
          <w:p w14:paraId="5AA8C090" w14:textId="4CDD28C1" w:rsidR="0011439F" w:rsidRPr="002D6934" w:rsidRDefault="0011439F" w:rsidP="0011439F">
            <w:pPr>
              <w:spacing w:before="60" w:after="60"/>
              <w:jc w:val="center"/>
              <w:rPr>
                <w:b/>
                <w:bCs/>
              </w:rPr>
            </w:pPr>
            <w:hyperlink r:id="rId8" w:history="1">
              <w:r w:rsidRPr="00D0122C">
                <w:rPr>
                  <w:rStyle w:val="Hyperlink"/>
                </w:rPr>
                <w:t>Read More</w:t>
              </w:r>
            </w:hyperlink>
          </w:p>
          <w:p w14:paraId="7EEB76DD" w14:textId="77777777" w:rsidR="0011439F" w:rsidRDefault="0011439F" w:rsidP="0011439F">
            <w:pPr>
              <w:spacing w:before="120" w:after="60" w:line="240" w:lineRule="auto"/>
            </w:pPr>
            <w:r w:rsidRPr="00D0122C">
              <w:t>In 2022, 481, or 10 percent of all credit unions, submitted a self-assessment. The figure represents an all-time high for submissions to the NCUA.</w:t>
            </w:r>
            <w:r>
              <w:t xml:space="preserve"> </w:t>
            </w:r>
            <w:r w:rsidRPr="00D0122C">
              <w:t>The number of CUDSA responses in 2022 was twice as much as the 240 self-assessments submitted in 2021.</w:t>
            </w:r>
            <w:r>
              <w:t xml:space="preserve"> </w:t>
            </w:r>
            <w:r>
              <w:t>The diversity, equity, and inclusion standards outlined in the voluntary CUDSA describe best practices for creating more diverse and inclusive credit unions. The self-assessment is an opportunity for the NCUA to learn about credit unions’ diversity policies and programs and their challenges, allowing the agency to provide effective technical assistance and resources to enhance diversity programs. It also helps credit unions assess, guide, and monitor their diversity-related efforts and compare their progress with peer organizations.</w:t>
            </w:r>
          </w:p>
          <w:p w14:paraId="135701F6" w14:textId="2A3C06E7" w:rsidR="0011439F" w:rsidRPr="00E43371" w:rsidRDefault="0011439F" w:rsidP="0011439F">
            <w:pPr>
              <w:spacing w:before="120" w:after="60"/>
            </w:pPr>
            <w:r>
              <w:t>Credit unions are encouraged to complete their 2023 Credit Union Diversity Self-Assessment to identify promising areas in their diversity policies and programs, as well as challenging areas where the NCUA can provide technical assistance, guidance, and resources to advance diversity and inclusion within the credit union system. The deadline for submission is January 31, 2024.</w:t>
            </w:r>
          </w:p>
          <w:p w14:paraId="66DD437E" w14:textId="115D9317" w:rsidR="0011439F" w:rsidRDefault="0011439F" w:rsidP="0011439F">
            <w:pPr>
              <w:spacing w:after="60"/>
              <w:jc w:val="right"/>
            </w:pPr>
            <w:r>
              <w:rPr>
                <w:sz w:val="16"/>
                <w:szCs w:val="16"/>
              </w:rPr>
              <w:t>12/13</w:t>
            </w:r>
            <w:r w:rsidRPr="00B50F40">
              <w:rPr>
                <w:sz w:val="16"/>
                <w:szCs w:val="16"/>
              </w:rPr>
              <w:t>/2</w:t>
            </w:r>
            <w:r>
              <w:rPr>
                <w:sz w:val="16"/>
                <w:szCs w:val="16"/>
              </w:rPr>
              <w:t>3</w:t>
            </w:r>
          </w:p>
        </w:tc>
      </w:tr>
      <w:tr w:rsidR="0011439F" w14:paraId="5F732F5C" w14:textId="77777777" w:rsidTr="00853F4F">
        <w:trPr>
          <w:trHeight w:val="350"/>
        </w:trPr>
        <w:tc>
          <w:tcPr>
            <w:tcW w:w="9355" w:type="dxa"/>
            <w:gridSpan w:val="2"/>
          </w:tcPr>
          <w:p w14:paraId="034D45AC" w14:textId="0ACB3A53" w:rsidR="0011439F" w:rsidRDefault="0011439F" w:rsidP="0011439F">
            <w:pPr>
              <w:spacing w:before="60" w:after="60"/>
              <w:rPr>
                <w:b/>
                <w:bCs/>
              </w:rPr>
            </w:pPr>
            <w:r>
              <w:rPr>
                <w:b/>
                <w:bCs/>
              </w:rPr>
              <w:t xml:space="preserve">NCUA </w:t>
            </w:r>
            <w:r w:rsidRPr="00D0122C">
              <w:rPr>
                <w:b/>
                <w:bCs/>
              </w:rPr>
              <w:t>Board</w:t>
            </w:r>
            <w:r>
              <w:rPr>
                <w:b/>
                <w:bCs/>
              </w:rPr>
              <w:t xml:space="preserve"> Met for Final Board Meeting of the Year</w:t>
            </w:r>
            <w:r w:rsidRPr="00D0122C">
              <w:rPr>
                <w:b/>
                <w:bCs/>
              </w:rPr>
              <w:t xml:space="preserve"> </w:t>
            </w:r>
          </w:p>
          <w:p w14:paraId="46769CCB" w14:textId="35CE88CE" w:rsidR="0011439F" w:rsidRPr="007D61A8" w:rsidRDefault="0011439F" w:rsidP="0011439F">
            <w:pPr>
              <w:spacing w:after="60"/>
              <w:jc w:val="center"/>
              <w:rPr>
                <w:b/>
                <w:bCs/>
              </w:rPr>
            </w:pPr>
            <w:hyperlink r:id="rId9" w:history="1">
              <w:r w:rsidRPr="00D0122C">
                <w:rPr>
                  <w:rStyle w:val="Hyperlink"/>
                </w:rPr>
                <w:t>Read More</w:t>
              </w:r>
            </w:hyperlink>
          </w:p>
          <w:p w14:paraId="6F9DDFF0" w14:textId="2F00CDF4" w:rsidR="0011439F" w:rsidRDefault="0011439F" w:rsidP="0011439F">
            <w:pPr>
              <w:spacing w:before="120" w:after="60"/>
            </w:pPr>
            <w:r>
              <w:t>During the meeting, the Board approved four items:</w:t>
            </w:r>
          </w:p>
          <w:p w14:paraId="40929C58" w14:textId="33388039" w:rsidR="0011439F" w:rsidRDefault="0011439F" w:rsidP="0011439F">
            <w:pPr>
              <w:pStyle w:val="ListParagraph"/>
              <w:numPr>
                <w:ilvl w:val="0"/>
                <w:numId w:val="33"/>
              </w:numPr>
              <w:spacing w:before="120" w:after="60"/>
            </w:pPr>
            <w:r>
              <w:t>2024/2025 Agency Budget</w:t>
            </w:r>
          </w:p>
          <w:p w14:paraId="1617AD88" w14:textId="5FA03677" w:rsidR="0011439F" w:rsidRDefault="0011439F" w:rsidP="0011439F">
            <w:pPr>
              <w:pStyle w:val="ListParagraph"/>
              <w:numPr>
                <w:ilvl w:val="0"/>
                <w:numId w:val="33"/>
              </w:numPr>
              <w:spacing w:before="120" w:after="60"/>
            </w:pPr>
            <w:r>
              <w:t>2024 CLF Budget</w:t>
            </w:r>
          </w:p>
          <w:p w14:paraId="0D287A33" w14:textId="42A6089B" w:rsidR="0011439F" w:rsidRDefault="0011439F" w:rsidP="0011439F">
            <w:pPr>
              <w:pStyle w:val="ListParagraph"/>
              <w:numPr>
                <w:ilvl w:val="0"/>
                <w:numId w:val="33"/>
              </w:numPr>
              <w:spacing w:before="120" w:after="60"/>
            </w:pPr>
            <w:r>
              <w:t>Issuance of final notice on Operating Fee Schedule Methodology</w:t>
            </w:r>
          </w:p>
          <w:p w14:paraId="3144DCAB" w14:textId="6092448B" w:rsidR="0011439F" w:rsidRDefault="0011439F" w:rsidP="0011439F">
            <w:pPr>
              <w:pStyle w:val="ListParagraph"/>
              <w:numPr>
                <w:ilvl w:val="0"/>
                <w:numId w:val="33"/>
              </w:numPr>
              <w:spacing w:before="120" w:after="60"/>
            </w:pPr>
            <w:r>
              <w:t>Issuance of notice and RFC on Overhead Transfer Rate Methodology</w:t>
            </w:r>
          </w:p>
          <w:p w14:paraId="02746090" w14:textId="2635EB7D" w:rsidR="0011439F" w:rsidRDefault="0011439F" w:rsidP="0011439F">
            <w:pPr>
              <w:spacing w:before="120" w:after="60"/>
            </w:pPr>
            <w:r>
              <w:rPr>
                <w:u w:val="single"/>
              </w:rPr>
              <w:t>2024/2025 Agency Budget</w:t>
            </w:r>
          </w:p>
          <w:p w14:paraId="57282C74" w14:textId="77777777" w:rsidR="0011439F" w:rsidRDefault="0011439F" w:rsidP="0011439F">
            <w:pPr>
              <w:spacing w:before="120" w:after="60" w:line="240" w:lineRule="auto"/>
            </w:pPr>
            <w:r>
              <w:t>ombined, the 2024 Operating, Capital, and Share Insurance Fund administrative budgets will be $385.7 million and 1,247 staff positions. This is $8.8 million less than in the staff draft budget. The combined budget for 2025 is $433.3 million, with 1,251 staff positions.</w:t>
            </w:r>
          </w:p>
          <w:p w14:paraId="3B3E4B50" w14:textId="70E05A2D" w:rsidR="0011439F" w:rsidRPr="002B6F0D" w:rsidRDefault="0011439F" w:rsidP="0011439F">
            <w:pPr>
              <w:spacing w:before="120" w:after="60"/>
              <w:rPr>
                <w:u w:val="single"/>
              </w:rPr>
            </w:pPr>
            <w:r w:rsidRPr="002B6F0D">
              <w:rPr>
                <w:u w:val="single"/>
              </w:rPr>
              <w:t>2024 CLF Budget</w:t>
            </w:r>
          </w:p>
          <w:p w14:paraId="19B5FD3A" w14:textId="6D60460C" w:rsidR="0011439F" w:rsidRDefault="0011439F" w:rsidP="0011439F">
            <w:pPr>
              <w:spacing w:before="120" w:after="60" w:line="240" w:lineRule="auto"/>
            </w:pPr>
            <w:r>
              <w:t>The Board unanimously approved the 2024 Central Liquidity Facility Budget(opens new window) of $2,199,065.</w:t>
            </w:r>
          </w:p>
          <w:p w14:paraId="463D7870" w14:textId="75C04D3E" w:rsidR="0011439F" w:rsidRDefault="0011439F" w:rsidP="0011439F">
            <w:pPr>
              <w:spacing w:before="120" w:after="60"/>
            </w:pPr>
            <w:r>
              <w:t>The NCUA Board, in its capacity as the CLF Board, must approve the CLF’s budget. In prior years, the CLF’s expenditures were accounted for in the NCUA operating budget. This request for approval of the CLF budget reflects the recent NCUA Board decision to strengthen the independence of the CLF and separate its budget from the NCUA operating budget.</w:t>
            </w:r>
          </w:p>
          <w:p w14:paraId="4CBC9E57" w14:textId="2CA65CA5" w:rsidR="0011439F" w:rsidRPr="002B6F0D" w:rsidRDefault="0011439F" w:rsidP="0011439F">
            <w:pPr>
              <w:spacing w:before="120" w:after="60"/>
              <w:rPr>
                <w:u w:val="single"/>
              </w:rPr>
            </w:pPr>
            <w:r w:rsidRPr="002B6F0D">
              <w:rPr>
                <w:u w:val="single"/>
              </w:rPr>
              <w:t>Final Notice: Operating Fee Schedule Methodology</w:t>
            </w:r>
          </w:p>
          <w:p w14:paraId="59FDE30E" w14:textId="06316D30" w:rsidR="0011439F" w:rsidRDefault="0011439F" w:rsidP="0011439F">
            <w:pPr>
              <w:spacing w:before="120" w:after="60" w:line="240" w:lineRule="auto"/>
            </w:pPr>
            <w:r>
              <w:t xml:space="preserve">The NCUA Board unanimously approved the issuance of a </w:t>
            </w:r>
            <w:hyperlink r:id="rId10" w:history="1">
              <w:r w:rsidRPr="002B6F0D">
                <w:rPr>
                  <w:rStyle w:val="Hyperlink"/>
                </w:rPr>
                <w:t>final notice</w:t>
              </w:r>
            </w:hyperlink>
            <w:r>
              <w:t xml:space="preserve"> making the following revisions to the Operating Fee Schedule methodology:</w:t>
            </w:r>
          </w:p>
          <w:p w14:paraId="20CE345D" w14:textId="77777777" w:rsidR="0011439F" w:rsidRDefault="0011439F" w:rsidP="0011439F">
            <w:pPr>
              <w:pStyle w:val="ListParagraph"/>
              <w:numPr>
                <w:ilvl w:val="0"/>
                <w:numId w:val="34"/>
              </w:numPr>
              <w:spacing w:before="120" w:after="60" w:line="240" w:lineRule="auto"/>
            </w:pPr>
            <w:r>
              <w:t>Increasing the fee exemption asset threshold below which federal credit unions are not required to pay the operating fee from $1 million to $2 million.</w:t>
            </w:r>
          </w:p>
          <w:p w14:paraId="0CE61318" w14:textId="21BB8A8F" w:rsidR="0011439F" w:rsidRDefault="0011439F" w:rsidP="0011439F">
            <w:pPr>
              <w:pStyle w:val="ListParagraph"/>
              <w:numPr>
                <w:ilvl w:val="0"/>
                <w:numId w:val="34"/>
              </w:numPr>
              <w:spacing w:before="120" w:after="60"/>
            </w:pPr>
            <w:r>
              <w:t>Increasing the fee exemption asset threshold in future years by the aggregate growth rate for federal credit union assets.</w:t>
            </w:r>
          </w:p>
          <w:p w14:paraId="73056AAA" w14:textId="3982D061" w:rsidR="0011439F" w:rsidRPr="002B6F0D" w:rsidRDefault="0011439F" w:rsidP="0011439F">
            <w:pPr>
              <w:spacing w:before="120" w:after="60"/>
              <w:rPr>
                <w:u w:val="single"/>
              </w:rPr>
            </w:pPr>
            <w:r w:rsidRPr="002B6F0D">
              <w:rPr>
                <w:u w:val="single"/>
              </w:rPr>
              <w:t>Request for Comment: Overhead Transfer Rate Methodology</w:t>
            </w:r>
          </w:p>
          <w:p w14:paraId="6DE92FBB" w14:textId="7EA1A62C" w:rsidR="0011439F" w:rsidRDefault="0011439F" w:rsidP="0011439F">
            <w:pPr>
              <w:spacing w:before="120" w:after="60"/>
            </w:pPr>
            <w:r w:rsidRPr="002B6F0D">
              <w:t xml:space="preserve">The NCUA Board unanimously approved the issuance of a </w:t>
            </w:r>
            <w:hyperlink r:id="rId11" w:history="1">
              <w:r>
                <w:rPr>
                  <w:rStyle w:val="Hyperlink"/>
                </w:rPr>
                <w:t>notice and request for comment</w:t>
              </w:r>
            </w:hyperlink>
            <w:r>
              <w:t xml:space="preserve"> </w:t>
            </w:r>
            <w:r w:rsidRPr="002B6F0D">
              <w:t>on the existing Overhead Transfer Rate (OTR) methodology. The Board is inviting comment on the NCUA’s methodology to determine the OTR. The request for comment clarifies the four principles for calculating the OTR and the various cost allocations associated with the calculation.</w:t>
            </w:r>
          </w:p>
          <w:p w14:paraId="76CBA1BC" w14:textId="59C8B880" w:rsidR="0011439F" w:rsidRDefault="0011439F" w:rsidP="0011439F">
            <w:pPr>
              <w:spacing w:before="120" w:after="60" w:line="240" w:lineRule="auto"/>
            </w:pPr>
            <w:r>
              <w:t xml:space="preserve">Additional information available in the </w:t>
            </w:r>
            <w:r w:rsidRPr="002B6F0D">
              <w:rPr>
                <w:b/>
                <w:bCs/>
                <w:color w:val="4472C4" w:themeColor="accent1"/>
              </w:rPr>
              <w:t>Open Comment Calls</w:t>
            </w:r>
            <w:r>
              <w:t xml:space="preserve"> section.</w:t>
            </w:r>
          </w:p>
          <w:p w14:paraId="4ECB11B5" w14:textId="4C6EA3B4" w:rsidR="0011439F" w:rsidRDefault="0011439F" w:rsidP="0011439F">
            <w:pPr>
              <w:spacing w:after="60"/>
              <w:jc w:val="right"/>
            </w:pPr>
            <w:r>
              <w:rPr>
                <w:sz w:val="16"/>
                <w:szCs w:val="16"/>
              </w:rPr>
              <w:t>12/14</w:t>
            </w:r>
            <w:r w:rsidRPr="00A54261">
              <w:rPr>
                <w:sz w:val="16"/>
                <w:szCs w:val="16"/>
              </w:rPr>
              <w:t>/2</w:t>
            </w:r>
            <w:r>
              <w:rPr>
                <w:sz w:val="16"/>
                <w:szCs w:val="16"/>
              </w:rPr>
              <w:t>3</w:t>
            </w:r>
          </w:p>
        </w:tc>
      </w:tr>
      <w:tr w:rsidR="0011439F" w:rsidRPr="00AB0A36" w14:paraId="05C22B2D" w14:textId="77777777" w:rsidTr="00DA020F">
        <w:trPr>
          <w:trHeight w:val="445"/>
        </w:trPr>
        <w:tc>
          <w:tcPr>
            <w:tcW w:w="9355" w:type="dxa"/>
            <w:gridSpan w:val="2"/>
          </w:tcPr>
          <w:p w14:paraId="6ED31C05" w14:textId="4C0FFD9F" w:rsidR="0011439F" w:rsidRDefault="0011439F" w:rsidP="0011439F">
            <w:pPr>
              <w:spacing w:before="60" w:after="60"/>
              <w:rPr>
                <w:b/>
                <w:bCs/>
              </w:rPr>
            </w:pPr>
            <w:r>
              <w:rPr>
                <w:b/>
                <w:bCs/>
              </w:rPr>
              <w:t xml:space="preserve">NCUA Issues </w:t>
            </w:r>
            <w:r w:rsidRPr="003F20C4">
              <w:rPr>
                <w:b/>
                <w:bCs/>
              </w:rPr>
              <w:t>Technical Correction for the CECL Transition Amount</w:t>
            </w:r>
          </w:p>
          <w:p w14:paraId="33E6E0C8" w14:textId="5754B30E" w:rsidR="0011439F" w:rsidRPr="00AB0A36" w:rsidRDefault="0011439F" w:rsidP="0011439F">
            <w:pPr>
              <w:spacing w:before="60" w:after="60"/>
              <w:jc w:val="center"/>
            </w:pPr>
            <w:hyperlink r:id="rId12" w:history="1">
              <w:r w:rsidRPr="00AE75C6">
                <w:rPr>
                  <w:rStyle w:val="Hyperlink"/>
                </w:rPr>
                <w:t>Read More</w:t>
              </w:r>
            </w:hyperlink>
          </w:p>
          <w:p w14:paraId="6F4EB28E" w14:textId="1270DBEA" w:rsidR="0011439F" w:rsidRDefault="0011439F" w:rsidP="0011439F">
            <w:pPr>
              <w:spacing w:before="120" w:after="120" w:line="240" w:lineRule="auto"/>
            </w:pPr>
            <w:r>
              <w:t>Credit unions that adopted the CECL accounting standard in 2023 should use the method described below to calculate and report on the Call Report their CECL transition amount.</w:t>
            </w:r>
          </w:p>
          <w:p w14:paraId="3924D82A" w14:textId="1A82C9B1" w:rsidR="0011439F" w:rsidRDefault="0011439F" w:rsidP="0011439F">
            <w:pPr>
              <w:spacing w:before="120" w:after="120" w:line="240" w:lineRule="auto"/>
            </w:pPr>
            <w:r>
              <w:t xml:space="preserve">The </w:t>
            </w:r>
            <w:hyperlink r:id="rId13" w:history="1">
              <w:r w:rsidRPr="003F20C4">
                <w:rPr>
                  <w:rStyle w:val="Hyperlink"/>
                </w:rPr>
                <w:t>Transition to the CECL Methodology</w:t>
              </w:r>
            </w:hyperlink>
            <w:r>
              <w:t xml:space="preserve"> recognized the need to phase in the CECL day-one adjustment on the net worth ratio. As a result, the final rule phased in the day-one effects of adopting the CECL accounting standard over a three-year transition period.</w:t>
            </w:r>
          </w:p>
          <w:p w14:paraId="5585905C" w14:textId="77777777" w:rsidR="0011439F" w:rsidRDefault="0011439F" w:rsidP="0011439F">
            <w:pPr>
              <w:spacing w:before="120" w:after="120" w:line="240" w:lineRule="auto"/>
            </w:pPr>
            <w:r>
              <w:t>To ensure computation alignment with the transition rule’s intent, credit unions should calculate the CECL transition amount for quarters 4 through 12 as the difference between:</w:t>
            </w:r>
          </w:p>
          <w:p w14:paraId="7FFFEFBC" w14:textId="75184CB3" w:rsidR="0011439F" w:rsidRDefault="0011439F" w:rsidP="0011439F">
            <w:pPr>
              <w:pStyle w:val="ListParagraph"/>
              <w:numPr>
                <w:ilvl w:val="0"/>
                <w:numId w:val="38"/>
              </w:numPr>
              <w:spacing w:before="120" w:after="120" w:line="240" w:lineRule="auto"/>
            </w:pPr>
            <w:r>
              <w:t>The credit union's retained earnings as of the beginning of the fiscal year in which the credit union adopts CECL, adjusted for any restatement of the initial CECL adoption amount; and</w:t>
            </w:r>
          </w:p>
          <w:p w14:paraId="189D0918" w14:textId="449FD3E5" w:rsidR="0011439F" w:rsidRDefault="0011439F" w:rsidP="0011439F">
            <w:pPr>
              <w:pStyle w:val="ListParagraph"/>
              <w:numPr>
                <w:ilvl w:val="0"/>
                <w:numId w:val="38"/>
              </w:numPr>
              <w:spacing w:before="120" w:after="120" w:line="240" w:lineRule="auto"/>
            </w:pPr>
            <w:r>
              <w:t>The credit union's retained earnings as of the closing of the fiscal year immediately before the credit union’s adoption of CECL.</w:t>
            </w:r>
          </w:p>
          <w:p w14:paraId="25DF6213" w14:textId="29B7FCFA" w:rsidR="0011439F" w:rsidRPr="00AE75C6" w:rsidRDefault="0011439F" w:rsidP="0011439F">
            <w:pPr>
              <w:spacing w:before="60" w:after="60"/>
              <w:jc w:val="right"/>
              <w:rPr>
                <w:b/>
                <w:bCs/>
                <w:sz w:val="16"/>
                <w:szCs w:val="16"/>
              </w:rPr>
            </w:pPr>
            <w:r w:rsidRPr="00AE75C6">
              <w:rPr>
                <w:sz w:val="16"/>
                <w:szCs w:val="16"/>
              </w:rPr>
              <w:t>12/20</w:t>
            </w:r>
            <w:r w:rsidRPr="00AE75C6">
              <w:rPr>
                <w:sz w:val="16"/>
                <w:szCs w:val="16"/>
              </w:rPr>
              <w:t>/23</w:t>
            </w:r>
          </w:p>
        </w:tc>
      </w:tr>
      <w:tr w:rsidR="0011439F" w14:paraId="090994A4" w14:textId="77777777" w:rsidTr="00853F4F">
        <w:trPr>
          <w:trHeight w:val="350"/>
        </w:trPr>
        <w:tc>
          <w:tcPr>
            <w:tcW w:w="9355" w:type="dxa"/>
            <w:gridSpan w:val="2"/>
          </w:tcPr>
          <w:p w14:paraId="17529512" w14:textId="11ED2B41" w:rsidR="0011439F" w:rsidRDefault="0011439F" w:rsidP="0011439F">
            <w:pPr>
              <w:spacing w:before="60" w:after="60"/>
              <w:rPr>
                <w:b/>
                <w:bCs/>
              </w:rPr>
            </w:pPr>
            <w:r w:rsidRPr="00AE75C6">
              <w:rPr>
                <w:b/>
                <w:bCs/>
              </w:rPr>
              <w:t>Senate confirms Otsuka to NCUA Board</w:t>
            </w:r>
          </w:p>
          <w:p w14:paraId="562D970C" w14:textId="6C1DA104" w:rsidR="0011439F" w:rsidRPr="00AB0A36" w:rsidRDefault="0011439F" w:rsidP="0011439F">
            <w:pPr>
              <w:spacing w:before="60" w:after="60"/>
              <w:jc w:val="center"/>
            </w:pPr>
            <w:hyperlink r:id="rId14" w:history="1">
              <w:r w:rsidRPr="00AE75C6">
                <w:rPr>
                  <w:rStyle w:val="Hyperlink"/>
                </w:rPr>
                <w:t>Read More</w:t>
              </w:r>
            </w:hyperlink>
          </w:p>
          <w:p w14:paraId="2E089A73" w14:textId="1C5744B6" w:rsidR="0011439F" w:rsidRDefault="0011439F" w:rsidP="0011439F">
            <w:pPr>
              <w:spacing w:before="120" w:after="120"/>
            </w:pPr>
            <w:r>
              <w:t xml:space="preserve">Following the Senate confirmation, on Monday, 1/8/24, Tanya Otsuka was </w:t>
            </w:r>
            <w:hyperlink r:id="rId15" w:history="1">
              <w:r w:rsidRPr="00AE75C6">
                <w:rPr>
                  <w:rStyle w:val="Hyperlink"/>
                </w:rPr>
                <w:t>sworn in</w:t>
              </w:r>
            </w:hyperlink>
            <w:r>
              <w:t xml:space="preserve"> </w:t>
            </w:r>
            <w:r w:rsidR="00234039">
              <w:t xml:space="preserve">as </w:t>
            </w:r>
            <w:r w:rsidRPr="00AE75C6">
              <w:t>25th NCUA Board Member</w:t>
            </w:r>
            <w:r>
              <w:t>.</w:t>
            </w:r>
          </w:p>
          <w:p w14:paraId="3EB6E204" w14:textId="7209FD33" w:rsidR="0011439F" w:rsidRDefault="0011439F" w:rsidP="0011439F">
            <w:pPr>
              <w:spacing w:before="60" w:after="60"/>
              <w:jc w:val="right"/>
              <w:rPr>
                <w:b/>
                <w:bCs/>
              </w:rPr>
            </w:pPr>
            <w:r>
              <w:rPr>
                <w:sz w:val="16"/>
                <w:szCs w:val="16"/>
              </w:rPr>
              <w:t>12/20</w:t>
            </w:r>
            <w:r w:rsidRPr="005717DB">
              <w:rPr>
                <w:sz w:val="16"/>
                <w:szCs w:val="16"/>
              </w:rPr>
              <w:t>/2</w:t>
            </w:r>
            <w:r>
              <w:rPr>
                <w:sz w:val="16"/>
                <w:szCs w:val="16"/>
              </w:rPr>
              <w:t>3</w:t>
            </w:r>
          </w:p>
        </w:tc>
      </w:tr>
      <w:tr w:rsidR="0011439F" w14:paraId="62DCD1AF" w14:textId="77777777" w:rsidTr="00853F4F">
        <w:trPr>
          <w:trHeight w:val="350"/>
        </w:trPr>
        <w:tc>
          <w:tcPr>
            <w:tcW w:w="9355" w:type="dxa"/>
            <w:gridSpan w:val="2"/>
          </w:tcPr>
          <w:p w14:paraId="489FDF9C" w14:textId="7CE0CDDE" w:rsidR="0011439F" w:rsidRDefault="0011439F" w:rsidP="0011439F">
            <w:pPr>
              <w:spacing w:before="60" w:after="60"/>
              <w:rPr>
                <w:b/>
                <w:bCs/>
              </w:rPr>
            </w:pPr>
            <w:r w:rsidRPr="004E7AD3">
              <w:rPr>
                <w:b/>
                <w:bCs/>
              </w:rPr>
              <w:t>NCUA Prohibits One Individual From Participating in the Affairs of Any Federally Insured Depository Institution</w:t>
            </w:r>
          </w:p>
          <w:p w14:paraId="38523545" w14:textId="4395E3F2" w:rsidR="0011439F" w:rsidRPr="00AB0A36" w:rsidRDefault="0011439F" w:rsidP="0011439F">
            <w:pPr>
              <w:spacing w:before="60" w:after="60"/>
              <w:jc w:val="center"/>
            </w:pPr>
            <w:hyperlink r:id="rId16" w:history="1">
              <w:r w:rsidRPr="004E7AD3">
                <w:rPr>
                  <w:rStyle w:val="Hyperlink"/>
                </w:rPr>
                <w:t>Read More</w:t>
              </w:r>
            </w:hyperlink>
          </w:p>
          <w:p w14:paraId="7AEF1F7C" w14:textId="5E2A4E7B" w:rsidR="0011439F" w:rsidRDefault="0011439F" w:rsidP="0011439F">
            <w:pPr>
              <w:spacing w:before="120" w:after="120" w:line="240" w:lineRule="auto"/>
            </w:pPr>
            <w:r>
              <w:t>The National Credit Union Administration issued one prohibition notice in December 2023. The individual named below is permanently prohibited from participating in the affairs of any federally insured depository institution</w:t>
            </w:r>
            <w:r>
              <w:t>:</w:t>
            </w:r>
          </w:p>
          <w:p w14:paraId="44D26A7D" w14:textId="53A3BFC7" w:rsidR="0011439F" w:rsidRDefault="0011439F" w:rsidP="0011439F">
            <w:pPr>
              <w:spacing w:before="120" w:after="120"/>
              <w:ind w:left="705" w:right="691"/>
            </w:pPr>
            <w:r>
              <w:t>Andrea Alice Nedow, a former employee of Traverse Catholic Federal Credit Union, Traverse City, Michigan.</w:t>
            </w:r>
          </w:p>
          <w:p w14:paraId="19C62DEE" w14:textId="21464271" w:rsidR="0011439F" w:rsidRDefault="0011439F" w:rsidP="0011439F">
            <w:pPr>
              <w:spacing w:before="60" w:after="60"/>
              <w:jc w:val="right"/>
              <w:rPr>
                <w:b/>
                <w:bCs/>
              </w:rPr>
            </w:pPr>
            <w:r>
              <w:rPr>
                <w:sz w:val="16"/>
                <w:szCs w:val="16"/>
              </w:rPr>
              <w:t>12/29</w:t>
            </w:r>
            <w:r w:rsidRPr="005717DB">
              <w:rPr>
                <w:sz w:val="16"/>
                <w:szCs w:val="16"/>
              </w:rPr>
              <w:t>/2</w:t>
            </w:r>
            <w:r>
              <w:rPr>
                <w:sz w:val="16"/>
                <w:szCs w:val="16"/>
              </w:rPr>
              <w:t>3</w:t>
            </w:r>
          </w:p>
        </w:tc>
      </w:tr>
      <w:tr w:rsidR="0011439F" w14:paraId="622F1D0E" w14:textId="77777777" w:rsidTr="00853F4F">
        <w:trPr>
          <w:trHeight w:val="350"/>
        </w:trPr>
        <w:tc>
          <w:tcPr>
            <w:tcW w:w="9355" w:type="dxa"/>
            <w:gridSpan w:val="2"/>
          </w:tcPr>
          <w:p w14:paraId="68079FF1" w14:textId="71CCFBCF" w:rsidR="0011439F" w:rsidRDefault="0011439F" w:rsidP="0011439F">
            <w:pPr>
              <w:spacing w:before="60" w:after="60"/>
              <w:rPr>
                <w:b/>
                <w:bCs/>
              </w:rPr>
            </w:pPr>
            <w:r w:rsidRPr="002F0348">
              <w:rPr>
                <w:b/>
                <w:bCs/>
              </w:rPr>
              <w:lastRenderedPageBreak/>
              <w:t>Rules of Practice and Procedure Final Rule Published</w:t>
            </w:r>
          </w:p>
          <w:p w14:paraId="078FC209" w14:textId="0E4E2B37" w:rsidR="0011439F" w:rsidRPr="00AB0A36" w:rsidRDefault="0011439F" w:rsidP="0011439F">
            <w:pPr>
              <w:spacing w:before="60" w:after="60"/>
              <w:jc w:val="center"/>
            </w:pPr>
            <w:hyperlink r:id="rId17" w:history="1">
              <w:r w:rsidRPr="0011439F">
                <w:rPr>
                  <w:rStyle w:val="Hyperlink"/>
                </w:rPr>
                <w:t>Read More</w:t>
              </w:r>
            </w:hyperlink>
          </w:p>
          <w:p w14:paraId="73EABF30" w14:textId="4007EA2C" w:rsidR="0011439F" w:rsidRDefault="0011439F" w:rsidP="0011439F">
            <w:pPr>
              <w:spacing w:before="120" w:after="120" w:line="240" w:lineRule="auto"/>
            </w:pPr>
            <w:r>
              <w:t xml:space="preserve">The NCUA, </w:t>
            </w:r>
            <w:r>
              <w:t xml:space="preserve">along with the </w:t>
            </w:r>
            <w:r>
              <w:t>Federal Reserve Board</w:t>
            </w:r>
            <w:r>
              <w:t xml:space="preserve">, the </w:t>
            </w:r>
            <w:r>
              <w:t>FDIC</w:t>
            </w:r>
            <w:r>
              <w:t xml:space="preserve">, and the </w:t>
            </w:r>
            <w:r>
              <w:t>O</w:t>
            </w:r>
            <w:r>
              <w:t>CC, published a final rule that amends the Uniform Rules of Practice and Procedure in agency regulations to recognize the use of electronic communications in all aspects of administrative hearings and to otherwise increase the efficiency and fairness of administrative adjudications. The NCUA and the OCC are also removing from the Uniform Rules the remaining references to the Office of Thrift Supervision (OTS), which was abolished in 2011.</w:t>
            </w:r>
          </w:p>
          <w:p w14:paraId="56F3EA3C" w14:textId="0FB57F10" w:rsidR="0011439F" w:rsidRDefault="0011439F" w:rsidP="0011439F">
            <w:pPr>
              <w:spacing w:before="120" w:after="120"/>
            </w:pPr>
            <w:r>
              <w:t>The rule is in Title 12 of the Code of Federal Regulations at Part 747 and takes effect on April 1, 2024.</w:t>
            </w:r>
          </w:p>
          <w:p w14:paraId="4F11351B" w14:textId="760340E3" w:rsidR="0011439F" w:rsidRPr="004E7AD3" w:rsidRDefault="0011439F" w:rsidP="0011439F">
            <w:pPr>
              <w:spacing w:before="60" w:after="60"/>
              <w:jc w:val="right"/>
              <w:rPr>
                <w:b/>
                <w:bCs/>
              </w:rPr>
            </w:pPr>
            <w:r>
              <w:rPr>
                <w:sz w:val="16"/>
                <w:szCs w:val="16"/>
              </w:rPr>
              <w:t>1/2/24</w:t>
            </w:r>
          </w:p>
        </w:tc>
      </w:tr>
      <w:tr w:rsidR="0011439F" w14:paraId="6E16CF2B" w14:textId="77777777" w:rsidTr="00853F4F">
        <w:tc>
          <w:tcPr>
            <w:tcW w:w="9355" w:type="dxa"/>
            <w:gridSpan w:val="2"/>
            <w:shd w:val="clear" w:color="auto" w:fill="ED7D31" w:themeFill="accent2"/>
          </w:tcPr>
          <w:p w14:paraId="5C240D15" w14:textId="5E6F9349" w:rsidR="0011439F" w:rsidRPr="00766443" w:rsidRDefault="0011439F" w:rsidP="0011439F">
            <w:pPr>
              <w:spacing w:before="60" w:after="60"/>
              <w:rPr>
                <w:b/>
                <w:bCs/>
              </w:rPr>
            </w:pPr>
            <w:r w:rsidRPr="00766443">
              <w:rPr>
                <w:b/>
                <w:bCs/>
                <w:color w:val="FFFFFF" w:themeColor="background1"/>
                <w:sz w:val="28"/>
                <w:szCs w:val="28"/>
              </w:rPr>
              <w:t>CFPB</w:t>
            </w:r>
          </w:p>
        </w:tc>
      </w:tr>
      <w:tr w:rsidR="0011439F" w14:paraId="5CF98C5F" w14:textId="77777777" w:rsidTr="00853F4F">
        <w:trPr>
          <w:trHeight w:val="445"/>
        </w:trPr>
        <w:tc>
          <w:tcPr>
            <w:tcW w:w="9355" w:type="dxa"/>
            <w:gridSpan w:val="2"/>
          </w:tcPr>
          <w:p w14:paraId="6F86A9A7" w14:textId="19DBBF23" w:rsidR="0011439F" w:rsidRDefault="0011439F" w:rsidP="0011439F">
            <w:pPr>
              <w:spacing w:before="60" w:after="60"/>
              <w:rPr>
                <w:b/>
                <w:bCs/>
              </w:rPr>
            </w:pPr>
            <w:r w:rsidRPr="00B5430E">
              <w:rPr>
                <w:b/>
                <w:bCs/>
              </w:rPr>
              <w:t>CFPB Shuts Down Commonwealth Financial Systems for Illegal Debt Collection Practices</w:t>
            </w:r>
          </w:p>
          <w:p w14:paraId="1C276667" w14:textId="55A788EA" w:rsidR="0011439F" w:rsidRPr="00BD29EE" w:rsidRDefault="0011439F" w:rsidP="0011439F">
            <w:pPr>
              <w:spacing w:before="60" w:after="60"/>
              <w:jc w:val="center"/>
              <w:rPr>
                <w:b/>
                <w:bCs/>
              </w:rPr>
            </w:pPr>
            <w:hyperlink r:id="rId18" w:history="1">
              <w:r w:rsidRPr="00B5430E">
                <w:rPr>
                  <w:rStyle w:val="Hyperlink"/>
                </w:rPr>
                <w:t>Read More</w:t>
              </w:r>
            </w:hyperlink>
          </w:p>
          <w:p w14:paraId="4E4996A8" w14:textId="27ACA3EB" w:rsidR="0011439F" w:rsidRDefault="0011439F" w:rsidP="0011439F">
            <w:pPr>
              <w:spacing w:before="60" w:after="60"/>
            </w:pPr>
            <w:r>
              <w:t xml:space="preserve">The CFPB </w:t>
            </w:r>
            <w:r w:rsidRPr="00B5430E">
              <w:t>took action against a medical debt collector, Commonwealth Financial Systems, for illegally trying to collect unverified medical debts after consumers disputed the validity of the debts. Commonwealth’s actions violated the Fair Credit Reporting Act because the company failed to conduct reasonable investigations of disputed debts and failed to inform consumer reporting companies that certain information was being disputed. Commonwealth also violated the Fair Debt Collection Practices Act because it continued to attempt to collect disputed debts without substantiating documentation.</w:t>
            </w:r>
            <w:r>
              <w:t xml:space="preserve"> </w:t>
            </w:r>
            <w:r w:rsidRPr="00B5430E">
              <w:t xml:space="preserve">Under the </w:t>
            </w:r>
            <w:r>
              <w:t xml:space="preserve">issued </w:t>
            </w:r>
            <w:r w:rsidRPr="00B5430E">
              <w:t>order, the company will cease operations and pay a $95,000 penalty to the CFPB’s victims relief fund.</w:t>
            </w:r>
          </w:p>
          <w:p w14:paraId="71E4435F" w14:textId="5140A57B" w:rsidR="0011439F" w:rsidRDefault="0011439F" w:rsidP="0011439F">
            <w:pPr>
              <w:spacing w:after="60"/>
              <w:jc w:val="right"/>
            </w:pPr>
            <w:r>
              <w:rPr>
                <w:sz w:val="16"/>
                <w:szCs w:val="16"/>
              </w:rPr>
              <w:t>12/15</w:t>
            </w:r>
            <w:r w:rsidRPr="00454A2D">
              <w:rPr>
                <w:sz w:val="16"/>
                <w:szCs w:val="16"/>
              </w:rPr>
              <w:t>/2</w:t>
            </w:r>
            <w:r>
              <w:rPr>
                <w:sz w:val="16"/>
                <w:szCs w:val="16"/>
              </w:rPr>
              <w:t>3</w:t>
            </w:r>
          </w:p>
        </w:tc>
      </w:tr>
      <w:tr w:rsidR="0011439F" w14:paraId="086DFC4B" w14:textId="77777777" w:rsidTr="00853F4F">
        <w:trPr>
          <w:trHeight w:val="445"/>
        </w:trPr>
        <w:tc>
          <w:tcPr>
            <w:tcW w:w="9355" w:type="dxa"/>
            <w:gridSpan w:val="2"/>
          </w:tcPr>
          <w:p w14:paraId="587F6354" w14:textId="6623318E" w:rsidR="0011439F" w:rsidRDefault="0011439F" w:rsidP="0011439F">
            <w:pPr>
              <w:spacing w:before="60" w:after="60"/>
              <w:rPr>
                <w:b/>
                <w:bCs/>
              </w:rPr>
            </w:pPr>
            <w:r w:rsidRPr="00D67D96">
              <w:rPr>
                <w:b/>
                <w:bCs/>
              </w:rPr>
              <w:t>CFPB announces asset-size threshold adjustments under HMDA (Reg C) and TILA (Reg Z)</w:t>
            </w:r>
          </w:p>
          <w:p w14:paraId="211F0832" w14:textId="52ADCB9B" w:rsidR="0011439F" w:rsidRPr="0043532E" w:rsidRDefault="0011439F" w:rsidP="0011439F">
            <w:pPr>
              <w:spacing w:before="60" w:after="60"/>
              <w:jc w:val="center"/>
              <w:rPr>
                <w:b/>
                <w:bCs/>
              </w:rPr>
            </w:pPr>
          </w:p>
          <w:p w14:paraId="562F3130" w14:textId="097236C8" w:rsidR="0011439F" w:rsidRDefault="0011439F" w:rsidP="0011439F">
            <w:pPr>
              <w:spacing w:before="120" w:after="120"/>
            </w:pPr>
            <w:r>
              <w:t>The CFPB has issued two annual threshold adjustment final rules.</w:t>
            </w:r>
            <w:r>
              <w:t xml:space="preserve"> </w:t>
            </w:r>
            <w:r>
              <w:t xml:space="preserve">First, the CFPB has announced the asset-size exemption thresholds for depository institutions under Regulation C.  Second, the CFPB has announced the asset-size exemption thresholds for certain creditors under the escrow requirements and small creditor portfolio and balloon-payment qualified mortgage requirements, and the small creditor exemption from the prohibition against balloon-payment high-cost mortgages under Regulation Z. These adjustments </w:t>
            </w:r>
            <w:r>
              <w:t xml:space="preserve">went into </w:t>
            </w:r>
            <w:r>
              <w:t>effect on January 1, 2024</w:t>
            </w:r>
            <w:r>
              <w:t>.</w:t>
            </w:r>
          </w:p>
          <w:p w14:paraId="54F2940A" w14:textId="39192F87" w:rsidR="0011439F" w:rsidRDefault="0011439F" w:rsidP="0011439F">
            <w:pPr>
              <w:pStyle w:val="ListParagraph"/>
              <w:numPr>
                <w:ilvl w:val="0"/>
                <w:numId w:val="35"/>
              </w:numPr>
              <w:spacing w:before="120" w:after="120"/>
            </w:pPr>
            <w:hyperlink r:id="rId19" w:history="1">
              <w:r w:rsidRPr="00D67D96">
                <w:rPr>
                  <w:rStyle w:val="Hyperlink"/>
                </w:rPr>
                <w:t>Reg C</w:t>
              </w:r>
            </w:hyperlink>
            <w:r>
              <w:t xml:space="preserve">: </w:t>
            </w:r>
            <w:r w:rsidRPr="00D67D96">
              <w:t>The exemption threshold is adjusted to increase to $56 million from $54 million.</w:t>
            </w:r>
          </w:p>
          <w:p w14:paraId="59903E35" w14:textId="32046067" w:rsidR="0011439F" w:rsidRDefault="0011439F" w:rsidP="0011439F">
            <w:pPr>
              <w:pStyle w:val="ListParagraph"/>
              <w:numPr>
                <w:ilvl w:val="0"/>
                <w:numId w:val="35"/>
              </w:numPr>
              <w:spacing w:before="120" w:after="120"/>
            </w:pPr>
            <w:hyperlink r:id="rId20" w:history="1">
              <w:r w:rsidRPr="00D67D96">
                <w:rPr>
                  <w:rStyle w:val="Hyperlink"/>
                </w:rPr>
                <w:t>Reg Z</w:t>
              </w:r>
            </w:hyperlink>
            <w:r>
              <w:t xml:space="preserve">: </w:t>
            </w:r>
            <w:r w:rsidRPr="00D67D96">
              <w:t>For certain first-lien higher-priced mortgage loans, the exemption threshold is adjusted to increase to $2.640 billion from $2.537 billion.</w:t>
            </w:r>
          </w:p>
          <w:p w14:paraId="5C4CC6A8" w14:textId="490866C2" w:rsidR="0011439F" w:rsidRDefault="0011439F" w:rsidP="0011439F">
            <w:pPr>
              <w:spacing w:after="60"/>
              <w:jc w:val="right"/>
            </w:pPr>
            <w:r>
              <w:rPr>
                <w:sz w:val="16"/>
                <w:szCs w:val="16"/>
              </w:rPr>
              <w:t>12/18</w:t>
            </w:r>
            <w:r w:rsidRPr="005717DB">
              <w:rPr>
                <w:sz w:val="16"/>
                <w:szCs w:val="16"/>
              </w:rPr>
              <w:t>/2</w:t>
            </w:r>
            <w:r>
              <w:rPr>
                <w:sz w:val="16"/>
                <w:szCs w:val="16"/>
              </w:rPr>
              <w:t>3</w:t>
            </w:r>
          </w:p>
        </w:tc>
      </w:tr>
      <w:tr w:rsidR="0011439F" w14:paraId="2DB8E85E" w14:textId="77777777" w:rsidTr="00853F4F">
        <w:trPr>
          <w:trHeight w:val="445"/>
        </w:trPr>
        <w:tc>
          <w:tcPr>
            <w:tcW w:w="9355" w:type="dxa"/>
            <w:gridSpan w:val="2"/>
          </w:tcPr>
          <w:p w14:paraId="558A605F" w14:textId="77777777" w:rsidR="0011439F" w:rsidRDefault="0011439F" w:rsidP="0011439F">
            <w:pPr>
              <w:spacing w:before="60" w:after="60"/>
              <w:rPr>
                <w:b/>
                <w:bCs/>
              </w:rPr>
            </w:pPr>
            <w:r w:rsidRPr="00AB0A36">
              <w:rPr>
                <w:b/>
                <w:bCs/>
              </w:rPr>
              <w:t>CFPB Report Finds Many College-Sponsored Financial Products Charge High and Unusual Fees</w:t>
            </w:r>
          </w:p>
          <w:p w14:paraId="32134D6E" w14:textId="1B088E26" w:rsidR="0011439F" w:rsidRPr="00AB0A36" w:rsidRDefault="0011439F" w:rsidP="0011439F">
            <w:pPr>
              <w:spacing w:before="60" w:after="60"/>
              <w:jc w:val="center"/>
            </w:pPr>
            <w:hyperlink r:id="rId21" w:history="1">
              <w:r w:rsidRPr="00AB0A36">
                <w:rPr>
                  <w:rStyle w:val="Hyperlink"/>
                </w:rPr>
                <w:t>Read More</w:t>
              </w:r>
            </w:hyperlink>
          </w:p>
          <w:p w14:paraId="4CDCFB88" w14:textId="090A79E7" w:rsidR="0011439F" w:rsidRDefault="0011439F" w:rsidP="0011439F">
            <w:pPr>
              <w:spacing w:before="120" w:after="120"/>
            </w:pPr>
            <w:r>
              <w:t xml:space="preserve">The CFPB issued a report </w:t>
            </w:r>
            <w:r w:rsidRPr="00AB0A36">
              <w:t>highlighting that many college-sponsored financial products have higher fees and worse terms and conditions compared to typical market products. The CFPB report identifies college-sponsored deposit accounts with fees above prevailing market rates, which institutions are required to consider under Department of Education rules designed to protect students’ interests.</w:t>
            </w:r>
          </w:p>
          <w:p w14:paraId="251BEED1" w14:textId="7EC73251" w:rsidR="0011439F" w:rsidRDefault="0011439F" w:rsidP="0011439F">
            <w:pPr>
              <w:spacing w:before="120" w:after="120" w:line="240" w:lineRule="auto"/>
            </w:pPr>
            <w:r>
              <w:t xml:space="preserve">The </w:t>
            </w:r>
            <w:r>
              <w:t>report found that many colleges continue to employ marketing strategies that may mislead students into accepting products that may not be the best choice for them. Among the student risks identified in t</w:t>
            </w:r>
            <w:r>
              <w:t>he</w:t>
            </w:r>
            <w:r>
              <w:t xml:space="preserve"> report:</w:t>
            </w:r>
          </w:p>
          <w:p w14:paraId="5A472867" w14:textId="59EDCC5D" w:rsidR="0011439F" w:rsidRDefault="0011439F" w:rsidP="0011439F">
            <w:pPr>
              <w:pStyle w:val="ListParagraph"/>
              <w:numPr>
                <w:ilvl w:val="0"/>
                <w:numId w:val="36"/>
              </w:numPr>
              <w:spacing w:before="120" w:after="120" w:line="240" w:lineRule="auto"/>
            </w:pPr>
            <w:r>
              <w:t>Colleges’ financial product partners may charge students high or atypical fees</w:t>
            </w:r>
            <w:r>
              <w:t>.</w:t>
            </w:r>
          </w:p>
          <w:p w14:paraId="76E5D992" w14:textId="2DCA8B45" w:rsidR="0011439F" w:rsidRDefault="0011439F" w:rsidP="0011439F">
            <w:pPr>
              <w:pStyle w:val="ListParagraph"/>
              <w:numPr>
                <w:ilvl w:val="0"/>
                <w:numId w:val="36"/>
              </w:numPr>
              <w:spacing w:before="120" w:after="120" w:line="240" w:lineRule="auto"/>
            </w:pPr>
            <w:r>
              <w:t>Fees paid by students often vary by institution type</w:t>
            </w:r>
            <w:r>
              <w:t>.</w:t>
            </w:r>
          </w:p>
          <w:p w14:paraId="1B0617B4" w14:textId="7F773DAC" w:rsidR="0011439F" w:rsidRDefault="0011439F" w:rsidP="0011439F">
            <w:pPr>
              <w:pStyle w:val="ListParagraph"/>
              <w:numPr>
                <w:ilvl w:val="0"/>
                <w:numId w:val="36"/>
              </w:numPr>
              <w:spacing w:before="120" w:after="120"/>
            </w:pPr>
            <w:r>
              <w:t>Students face unexpected fees at graduation</w:t>
            </w:r>
            <w:r>
              <w:t>.</w:t>
            </w:r>
          </w:p>
          <w:p w14:paraId="0067EB42" w14:textId="5EC86A9A" w:rsidR="0011439F" w:rsidRPr="00D67D96" w:rsidRDefault="0011439F" w:rsidP="0011439F">
            <w:pPr>
              <w:spacing w:before="60" w:after="60"/>
              <w:jc w:val="right"/>
              <w:rPr>
                <w:b/>
                <w:bCs/>
              </w:rPr>
            </w:pPr>
            <w:r>
              <w:rPr>
                <w:sz w:val="16"/>
                <w:szCs w:val="16"/>
              </w:rPr>
              <w:t>12/1</w:t>
            </w:r>
            <w:r>
              <w:rPr>
                <w:sz w:val="16"/>
                <w:szCs w:val="16"/>
              </w:rPr>
              <w:t>9</w:t>
            </w:r>
            <w:r w:rsidRPr="005717DB">
              <w:rPr>
                <w:sz w:val="16"/>
                <w:szCs w:val="16"/>
              </w:rPr>
              <w:t>/2</w:t>
            </w:r>
            <w:r>
              <w:rPr>
                <w:sz w:val="16"/>
                <w:szCs w:val="16"/>
              </w:rPr>
              <w:t>3</w:t>
            </w:r>
          </w:p>
        </w:tc>
      </w:tr>
      <w:tr w:rsidR="0011439F" w14:paraId="0166BABE" w14:textId="77777777" w:rsidTr="00853F4F">
        <w:trPr>
          <w:trHeight w:val="445"/>
        </w:trPr>
        <w:tc>
          <w:tcPr>
            <w:tcW w:w="9355" w:type="dxa"/>
            <w:gridSpan w:val="2"/>
          </w:tcPr>
          <w:p w14:paraId="65C207FB" w14:textId="4A41932F" w:rsidR="0011439F" w:rsidRDefault="0011439F" w:rsidP="0011439F">
            <w:pPr>
              <w:spacing w:before="60" w:after="60"/>
              <w:rPr>
                <w:b/>
                <w:bCs/>
              </w:rPr>
            </w:pPr>
            <w:r w:rsidRPr="002F4F69">
              <w:rPr>
                <w:b/>
                <w:bCs/>
              </w:rPr>
              <w:t>CFPB Orders U.S. Bank to Pay $21 Million for Illegal Conduct During COVID-19 Pandemic</w:t>
            </w:r>
          </w:p>
          <w:p w14:paraId="5FB9132E" w14:textId="5B21400F" w:rsidR="0011439F" w:rsidRPr="00AB0A36" w:rsidRDefault="0011439F" w:rsidP="0011439F">
            <w:pPr>
              <w:spacing w:before="60" w:after="60"/>
              <w:jc w:val="center"/>
            </w:pPr>
            <w:hyperlink r:id="rId22" w:history="1">
              <w:r w:rsidRPr="002F4F69">
                <w:rPr>
                  <w:rStyle w:val="Hyperlink"/>
                </w:rPr>
                <w:t>Read More</w:t>
              </w:r>
            </w:hyperlink>
          </w:p>
          <w:p w14:paraId="02AD1623" w14:textId="2EF295F4" w:rsidR="0011439F" w:rsidRDefault="0011439F" w:rsidP="0011439F">
            <w:pPr>
              <w:spacing w:before="120" w:after="120"/>
            </w:pPr>
            <w:r>
              <w:t xml:space="preserve">The CFPB has </w:t>
            </w:r>
            <w:r w:rsidRPr="00912D09">
              <w:t>ordered U.S. Bank to pay nearly $21 million for keeping out-of-work consumers from accessing unemployment benefits at the height of the COVID-19 pandemic. U.S. Bank froze tens of thousands of accounts. However, it failed to provide people a reliable and quick way to regain access. The bank also failed to provide provisional account credits, while investigating potentially unauthorized transfers. T</w:t>
            </w:r>
            <w:r>
              <w:t xml:space="preserve">he </w:t>
            </w:r>
            <w:r w:rsidRPr="00912D09">
              <w:t>order requires U.S. Bank to pay $5.7 million to consumers harmed by its actions and to pay a $15 million penalty.</w:t>
            </w:r>
          </w:p>
          <w:p w14:paraId="30E5F7F8" w14:textId="2878B550" w:rsidR="0011439F" w:rsidRPr="00AB0A36" w:rsidRDefault="0011439F" w:rsidP="0011439F">
            <w:pPr>
              <w:spacing w:before="60" w:after="60"/>
              <w:jc w:val="right"/>
              <w:rPr>
                <w:b/>
                <w:bCs/>
              </w:rPr>
            </w:pPr>
            <w:r>
              <w:rPr>
                <w:sz w:val="16"/>
                <w:szCs w:val="16"/>
              </w:rPr>
              <w:t>12/19</w:t>
            </w:r>
            <w:r w:rsidRPr="005717DB">
              <w:rPr>
                <w:sz w:val="16"/>
                <w:szCs w:val="16"/>
              </w:rPr>
              <w:t>/2</w:t>
            </w:r>
            <w:r>
              <w:rPr>
                <w:sz w:val="16"/>
                <w:szCs w:val="16"/>
              </w:rPr>
              <w:t>3</w:t>
            </w:r>
          </w:p>
        </w:tc>
      </w:tr>
      <w:tr w:rsidR="0011439F" w:rsidRPr="00AB0A36" w14:paraId="3F6DF53B" w14:textId="77777777" w:rsidTr="00DA020F">
        <w:trPr>
          <w:trHeight w:val="445"/>
        </w:trPr>
        <w:tc>
          <w:tcPr>
            <w:tcW w:w="9355" w:type="dxa"/>
            <w:gridSpan w:val="2"/>
          </w:tcPr>
          <w:p w14:paraId="2E3B05E3" w14:textId="72C97A48" w:rsidR="0011439F" w:rsidRDefault="0011439F" w:rsidP="0011439F">
            <w:pPr>
              <w:spacing w:before="60" w:after="60"/>
              <w:rPr>
                <w:b/>
                <w:bCs/>
              </w:rPr>
            </w:pPr>
            <w:r w:rsidRPr="00912D09">
              <w:rPr>
                <w:b/>
                <w:bCs/>
              </w:rPr>
              <w:t>CFPB Issues Report Showing Many Americans Are Surprised by Overdraft Fees</w:t>
            </w:r>
          </w:p>
          <w:p w14:paraId="295D9C80" w14:textId="7FE4E408" w:rsidR="0011439F" w:rsidRPr="00AB0A36" w:rsidRDefault="0011439F" w:rsidP="0011439F">
            <w:pPr>
              <w:spacing w:before="60" w:after="60"/>
              <w:jc w:val="center"/>
            </w:pPr>
            <w:hyperlink r:id="rId23" w:history="1">
              <w:r w:rsidRPr="00912D09">
                <w:rPr>
                  <w:rStyle w:val="Hyperlink"/>
                </w:rPr>
                <w:t>Read More</w:t>
              </w:r>
            </w:hyperlink>
          </w:p>
          <w:p w14:paraId="07499579" w14:textId="3F8AF14B" w:rsidR="0011439F" w:rsidRDefault="0011439F" w:rsidP="0011439F">
            <w:pPr>
              <w:spacing w:before="120" w:after="120"/>
            </w:pPr>
            <w:r>
              <w:t xml:space="preserve">The CFPB </w:t>
            </w:r>
            <w:r w:rsidRPr="00912D09">
              <w:t>issued a new report finding that many consumers are still being hit with unexpected overdraft and nonsufficient fund fees, despite recent changes implemented by banks and credit unions that have eliminated billions of dollars in fees charged each year.</w:t>
            </w:r>
            <w:r>
              <w:t xml:space="preserve"> </w:t>
            </w:r>
            <w:r w:rsidRPr="00912D09">
              <w:t>Many consumers have access to cheaper credit sources, such as on a credit card, and report being surprised by their most recent overdraft. Other consumers appear to use overdrafts often and intentionally: in households charged more than 10 such fees in a year, more than half of respondents reported that they expected their most recent overdraft.</w:t>
            </w:r>
          </w:p>
          <w:p w14:paraId="2CF7F490" w14:textId="2B44A065" w:rsidR="0011439F" w:rsidRPr="00AB0A36" w:rsidRDefault="0011439F" w:rsidP="0011439F">
            <w:pPr>
              <w:spacing w:before="60" w:after="60"/>
              <w:jc w:val="right"/>
              <w:rPr>
                <w:b/>
                <w:bCs/>
              </w:rPr>
            </w:pPr>
            <w:r>
              <w:rPr>
                <w:sz w:val="16"/>
                <w:szCs w:val="16"/>
              </w:rPr>
              <w:t>12/19</w:t>
            </w:r>
            <w:r w:rsidRPr="005717DB">
              <w:rPr>
                <w:sz w:val="16"/>
                <w:szCs w:val="16"/>
              </w:rPr>
              <w:t>/2</w:t>
            </w:r>
            <w:r>
              <w:rPr>
                <w:sz w:val="16"/>
                <w:szCs w:val="16"/>
              </w:rPr>
              <w:t>3</w:t>
            </w:r>
          </w:p>
        </w:tc>
      </w:tr>
      <w:tr w:rsidR="0011439F" w:rsidRPr="00AB0A36" w14:paraId="51D49C1F" w14:textId="77777777" w:rsidTr="00DA020F">
        <w:trPr>
          <w:trHeight w:val="445"/>
        </w:trPr>
        <w:tc>
          <w:tcPr>
            <w:tcW w:w="9355" w:type="dxa"/>
            <w:gridSpan w:val="2"/>
          </w:tcPr>
          <w:p w14:paraId="15C30532" w14:textId="335BD2A2" w:rsidR="0011439F" w:rsidRDefault="0011439F" w:rsidP="0011439F">
            <w:pPr>
              <w:spacing w:before="60" w:after="60"/>
              <w:rPr>
                <w:b/>
                <w:bCs/>
              </w:rPr>
            </w:pPr>
            <w:r w:rsidRPr="003F20C4">
              <w:rPr>
                <w:b/>
                <w:bCs/>
              </w:rPr>
              <w:t>CFPB and Justice Department Sue Developer and Lender Colony Ridge for Bait-and-Switch Land Sales and Predatory Financing</w:t>
            </w:r>
          </w:p>
          <w:p w14:paraId="75AB03E9" w14:textId="2D68EB3B" w:rsidR="0011439F" w:rsidRPr="00AB0A36" w:rsidRDefault="0011439F" w:rsidP="0011439F">
            <w:pPr>
              <w:spacing w:before="60" w:after="60"/>
              <w:jc w:val="center"/>
            </w:pPr>
            <w:hyperlink r:id="rId24" w:history="1">
              <w:r w:rsidRPr="003F20C4">
                <w:rPr>
                  <w:rStyle w:val="Hyperlink"/>
                </w:rPr>
                <w:t>Read More</w:t>
              </w:r>
            </w:hyperlink>
          </w:p>
          <w:p w14:paraId="3CC1FD0D" w14:textId="5D1EAE67" w:rsidR="0011439F" w:rsidRDefault="0011439F" w:rsidP="0011439F">
            <w:pPr>
              <w:spacing w:before="120" w:after="120"/>
            </w:pPr>
            <w:r w:rsidRPr="003F20C4">
              <w:t>The C</w:t>
            </w:r>
            <w:r>
              <w:t>FPB</w:t>
            </w:r>
            <w:r w:rsidRPr="003F20C4">
              <w:t xml:space="preserve"> and the Justice Department</w:t>
            </w:r>
            <w:r>
              <w:t xml:space="preserve"> filed a lawsuit against</w:t>
            </w:r>
            <w:r w:rsidRPr="003F20C4">
              <w:t xml:space="preserve"> Colony Ridge, a Texas-based developer and lender, for operating an illegal land sales scheme and targeting tens of thousands of Hispanic borrowers with false statements and predatory loans. The lawsuit filed in federal district court alleges Colony Ridge sells unsuspecting families flood-prone land without water, sewer, or electrical infrastructure, and that the company sets borrowers up to fail with loans they cannot afford. Roughly 1-in-4 Colony Ridge loans ends in foreclosure, after which the company repurchases the properties and sells them to new borrowers. The CFPB and Justice Department are seeking redress for borrowers harmed by Colony Ridge and an immediate end to its illegal practices. This is the CFPB’s first federal court lawsuit charging a defendant with violations of the Interstate Land Sales Full Disclosure Act.</w:t>
            </w:r>
          </w:p>
          <w:p w14:paraId="7915BBDA" w14:textId="637FBBE0" w:rsidR="0011439F" w:rsidRPr="00AB0A36" w:rsidRDefault="0011439F" w:rsidP="0011439F">
            <w:pPr>
              <w:spacing w:before="60" w:after="60"/>
              <w:jc w:val="right"/>
              <w:rPr>
                <w:b/>
                <w:bCs/>
              </w:rPr>
            </w:pPr>
            <w:r>
              <w:rPr>
                <w:sz w:val="16"/>
                <w:szCs w:val="16"/>
              </w:rPr>
              <w:t>12/20</w:t>
            </w:r>
            <w:r w:rsidRPr="005717DB">
              <w:rPr>
                <w:sz w:val="16"/>
                <w:szCs w:val="16"/>
              </w:rPr>
              <w:t>/2</w:t>
            </w:r>
            <w:r>
              <w:rPr>
                <w:sz w:val="16"/>
                <w:szCs w:val="16"/>
              </w:rPr>
              <w:t>3</w:t>
            </w:r>
          </w:p>
        </w:tc>
      </w:tr>
      <w:tr w:rsidR="0011439F" w:rsidRPr="00AB0A36" w14:paraId="415D515D" w14:textId="77777777" w:rsidTr="00DA020F">
        <w:trPr>
          <w:trHeight w:val="445"/>
        </w:trPr>
        <w:tc>
          <w:tcPr>
            <w:tcW w:w="9355" w:type="dxa"/>
            <w:gridSpan w:val="2"/>
          </w:tcPr>
          <w:p w14:paraId="50128FC4" w14:textId="2769A91D" w:rsidR="0011439F" w:rsidRDefault="0011439F" w:rsidP="0011439F">
            <w:pPr>
              <w:spacing w:before="60" w:after="60"/>
              <w:rPr>
                <w:b/>
                <w:bCs/>
              </w:rPr>
            </w:pPr>
            <w:r w:rsidRPr="0011439F">
              <w:rPr>
                <w:b/>
                <w:bCs/>
              </w:rPr>
              <w:t>2023 HMDA Data Filing Period is Open</w:t>
            </w:r>
          </w:p>
          <w:p w14:paraId="73223E66" w14:textId="58413F30" w:rsidR="0011439F" w:rsidRPr="00AB0A36" w:rsidRDefault="0011439F" w:rsidP="0011439F">
            <w:pPr>
              <w:spacing w:before="60" w:after="60"/>
              <w:jc w:val="center"/>
            </w:pPr>
            <w:hyperlink r:id="rId25" w:history="1">
              <w:r w:rsidRPr="0011439F">
                <w:rPr>
                  <w:rStyle w:val="Hyperlink"/>
                </w:rPr>
                <w:t>Read More</w:t>
              </w:r>
            </w:hyperlink>
          </w:p>
          <w:p w14:paraId="03C0B3FD" w14:textId="1736B8EF" w:rsidR="0011439F" w:rsidRDefault="0011439F" w:rsidP="0011439F">
            <w:pPr>
              <w:spacing w:before="120" w:after="120"/>
            </w:pPr>
            <w:r w:rsidRPr="0011439F">
              <w:t xml:space="preserve">The CFPB </w:t>
            </w:r>
            <w:r>
              <w:t>opened</w:t>
            </w:r>
            <w:r w:rsidRPr="0011439F">
              <w:t xml:space="preserve"> the filing period for HMDA data collected in 2023 on January 1, 2024. Submissions will be considered timely if received on or before Friday, March 1, 2024. The HMDA Platform provides financial institutions an opportunity to determine whether their loan/application register (LAR) data comply with the reporting requirements outlined in the </w:t>
            </w:r>
            <w:hyperlink r:id="rId26" w:history="1">
              <w:r w:rsidRPr="0011439F">
                <w:rPr>
                  <w:rStyle w:val="Hyperlink"/>
                </w:rPr>
                <w:t>Filing Instructions Guide for HMDA data collected in 2023</w:t>
              </w:r>
            </w:hyperlink>
            <w:r w:rsidRPr="0011439F">
              <w:t>.</w:t>
            </w:r>
          </w:p>
          <w:p w14:paraId="12C597CD" w14:textId="3AA92CCF" w:rsidR="0011439F" w:rsidRPr="00AB0A36" w:rsidRDefault="0011439F" w:rsidP="0011439F">
            <w:pPr>
              <w:spacing w:before="60" w:after="60"/>
              <w:jc w:val="right"/>
              <w:rPr>
                <w:b/>
                <w:bCs/>
              </w:rPr>
            </w:pPr>
            <w:r>
              <w:rPr>
                <w:sz w:val="16"/>
                <w:szCs w:val="16"/>
              </w:rPr>
              <w:t>1/1</w:t>
            </w:r>
            <w:r w:rsidRPr="005717DB">
              <w:rPr>
                <w:sz w:val="16"/>
                <w:szCs w:val="16"/>
              </w:rPr>
              <w:t>/2</w:t>
            </w:r>
            <w:r>
              <w:rPr>
                <w:sz w:val="16"/>
                <w:szCs w:val="16"/>
              </w:rPr>
              <w:t>4</w:t>
            </w:r>
          </w:p>
        </w:tc>
      </w:tr>
      <w:tr w:rsidR="00351337" w14:paraId="12B7166C" w14:textId="77777777" w:rsidTr="00853F4F">
        <w:trPr>
          <w:trHeight w:val="445"/>
        </w:trPr>
        <w:tc>
          <w:tcPr>
            <w:tcW w:w="9355" w:type="dxa"/>
            <w:gridSpan w:val="2"/>
          </w:tcPr>
          <w:p w14:paraId="4F23003A" w14:textId="2311A39E" w:rsidR="00351337" w:rsidRDefault="00351337" w:rsidP="00351337">
            <w:pPr>
              <w:spacing w:before="60" w:after="60"/>
              <w:rPr>
                <w:b/>
                <w:bCs/>
              </w:rPr>
            </w:pPr>
            <w:r w:rsidRPr="00351337">
              <w:rPr>
                <w:b/>
                <w:bCs/>
              </w:rPr>
              <w:t>CFPB Report Identifies Challenges Faced by Borrowers in Resumption of Student Loan Payments</w:t>
            </w:r>
          </w:p>
          <w:p w14:paraId="0CCC9C12" w14:textId="5DF0A975" w:rsidR="00351337" w:rsidRPr="00AB0A36" w:rsidRDefault="00351337" w:rsidP="00351337">
            <w:pPr>
              <w:spacing w:before="60" w:after="60"/>
              <w:jc w:val="center"/>
            </w:pPr>
            <w:hyperlink r:id="rId27" w:history="1">
              <w:r w:rsidRPr="00351337">
                <w:rPr>
                  <w:rStyle w:val="Hyperlink"/>
                </w:rPr>
                <w:t>Read More</w:t>
              </w:r>
            </w:hyperlink>
          </w:p>
          <w:p w14:paraId="208C20B4" w14:textId="06234FC9" w:rsidR="00351337" w:rsidRDefault="00351337" w:rsidP="00351337">
            <w:pPr>
              <w:spacing w:before="120" w:after="120"/>
            </w:pPr>
            <w:r>
              <w:t xml:space="preserve">The CFPB </w:t>
            </w:r>
            <w:r w:rsidRPr="00351337">
              <w:t>published an issue spotlight on the CFPB’s oversight of student loan servicing practices in the early months of the resumption of federal student loan repayments after over three years of a payment pause due to the COVID-19 emergency. Borrowers are encountering long hold times when trying to reach their student loan servicer, experiencing significant delays in application processing times for income-driven repayment plans, and receiving inaccurate billing statements and disclosures.</w:t>
            </w:r>
          </w:p>
          <w:p w14:paraId="6B5ABAA4" w14:textId="28874F14" w:rsidR="00351337" w:rsidRDefault="00351337" w:rsidP="00351337">
            <w:pPr>
              <w:spacing w:before="60" w:after="60"/>
              <w:jc w:val="right"/>
              <w:rPr>
                <w:b/>
                <w:bCs/>
              </w:rPr>
            </w:pPr>
            <w:r>
              <w:rPr>
                <w:sz w:val="16"/>
                <w:szCs w:val="16"/>
              </w:rPr>
              <w:t>1/</w:t>
            </w:r>
            <w:r>
              <w:rPr>
                <w:sz w:val="16"/>
                <w:szCs w:val="16"/>
              </w:rPr>
              <w:t>5</w:t>
            </w:r>
            <w:r w:rsidRPr="005717DB">
              <w:rPr>
                <w:sz w:val="16"/>
                <w:szCs w:val="16"/>
              </w:rPr>
              <w:t>/2</w:t>
            </w:r>
            <w:r>
              <w:rPr>
                <w:sz w:val="16"/>
                <w:szCs w:val="16"/>
              </w:rPr>
              <w:t>4</w:t>
            </w:r>
          </w:p>
        </w:tc>
      </w:tr>
      <w:tr w:rsidR="00351337" w14:paraId="76C1633B" w14:textId="77777777" w:rsidTr="00853F4F">
        <w:tc>
          <w:tcPr>
            <w:tcW w:w="9355" w:type="dxa"/>
            <w:gridSpan w:val="2"/>
            <w:shd w:val="clear" w:color="auto" w:fill="ED7D31" w:themeFill="accent2"/>
          </w:tcPr>
          <w:p w14:paraId="4EFA6354" w14:textId="71374F66" w:rsidR="00351337" w:rsidRPr="00766443" w:rsidRDefault="00351337" w:rsidP="00351337">
            <w:pPr>
              <w:spacing w:before="60" w:after="60"/>
              <w:rPr>
                <w:b/>
                <w:bCs/>
              </w:rPr>
            </w:pPr>
            <w:r w:rsidRPr="00766443">
              <w:rPr>
                <w:b/>
                <w:bCs/>
                <w:color w:val="FFFFFF" w:themeColor="background1"/>
                <w:sz w:val="28"/>
                <w:szCs w:val="28"/>
              </w:rPr>
              <w:t>FinCEN</w:t>
            </w:r>
          </w:p>
        </w:tc>
      </w:tr>
      <w:tr w:rsidR="00351337" w14:paraId="0FC1226A" w14:textId="77777777" w:rsidTr="00853F4F">
        <w:trPr>
          <w:trHeight w:val="445"/>
        </w:trPr>
        <w:tc>
          <w:tcPr>
            <w:tcW w:w="9355" w:type="dxa"/>
            <w:gridSpan w:val="2"/>
          </w:tcPr>
          <w:p w14:paraId="60C73EB5" w14:textId="0A8CF2E9" w:rsidR="00351337" w:rsidRDefault="00351337" w:rsidP="00351337">
            <w:pPr>
              <w:spacing w:before="60" w:after="60"/>
              <w:rPr>
                <w:b/>
                <w:bCs/>
              </w:rPr>
            </w:pPr>
            <w:r w:rsidRPr="00D0122C">
              <w:rPr>
                <w:b/>
                <w:bCs/>
              </w:rPr>
              <w:lastRenderedPageBreak/>
              <w:t>FinCEN Names Jimmy Kirby as Deputy Director</w:t>
            </w:r>
          </w:p>
          <w:p w14:paraId="56BD874F" w14:textId="6AC9D374" w:rsidR="00351337" w:rsidRPr="00944D92" w:rsidRDefault="00351337" w:rsidP="00351337">
            <w:pPr>
              <w:spacing w:before="60" w:after="60"/>
              <w:jc w:val="center"/>
              <w:rPr>
                <w:b/>
                <w:bCs/>
              </w:rPr>
            </w:pPr>
            <w:hyperlink r:id="rId28" w:history="1">
              <w:r w:rsidRPr="00D0122C">
                <w:rPr>
                  <w:rStyle w:val="Hyperlink"/>
                </w:rPr>
                <w:t>Read More</w:t>
              </w:r>
            </w:hyperlink>
          </w:p>
          <w:p w14:paraId="27CD49B9" w14:textId="77777777" w:rsidR="00351337" w:rsidRDefault="00351337" w:rsidP="00351337">
            <w:pPr>
              <w:spacing w:before="60" w:after="120" w:line="240" w:lineRule="auto"/>
            </w:pPr>
            <w:r>
              <w:t>(FinCEN) has named Jimmy Kirby as its Deputy Director. Mr. Kirby previously served as FinCEN’s Acting Deputy Director. Prior to that, he served as Associate Director of FinCEN’s Research and Analysis Division (formerly FinCEN’s Intelligence Division) as well as FinCEN’s Chief Counsel.</w:t>
            </w:r>
          </w:p>
          <w:p w14:paraId="5CB4EBE6" w14:textId="4185F777" w:rsidR="00351337" w:rsidRDefault="00351337" w:rsidP="00351337">
            <w:pPr>
              <w:spacing w:before="60" w:after="60"/>
            </w:pPr>
            <w:r>
              <w:t>Prior to joining FinCEN, Mr. Kirby served in multiple roles supporting the Treasury Department’s national security mission and advising Treasury’s senior leadership, and he has deep experience across Treasury’s Office of Terrorism and Financial Intelligence. Prior to joining the Treasury Department, Mr. Kirby was an associate at a large international law firm based in Washington, D.C.</w:t>
            </w:r>
          </w:p>
          <w:p w14:paraId="7408C6D7" w14:textId="5CD7B3CA" w:rsidR="00351337" w:rsidRDefault="00351337" w:rsidP="00351337">
            <w:pPr>
              <w:spacing w:after="60"/>
              <w:jc w:val="right"/>
            </w:pPr>
            <w:r>
              <w:rPr>
                <w:sz w:val="16"/>
                <w:szCs w:val="16"/>
              </w:rPr>
              <w:t>12/13</w:t>
            </w:r>
            <w:r w:rsidRPr="00C85871">
              <w:rPr>
                <w:sz w:val="16"/>
                <w:szCs w:val="16"/>
              </w:rPr>
              <w:t>/2</w:t>
            </w:r>
            <w:r>
              <w:rPr>
                <w:sz w:val="16"/>
                <w:szCs w:val="16"/>
              </w:rPr>
              <w:t>3</w:t>
            </w:r>
          </w:p>
        </w:tc>
      </w:tr>
      <w:tr w:rsidR="00351337" w14:paraId="4D09DDEB" w14:textId="77777777" w:rsidTr="00853F4F">
        <w:trPr>
          <w:trHeight w:val="445"/>
        </w:trPr>
        <w:tc>
          <w:tcPr>
            <w:tcW w:w="9355" w:type="dxa"/>
            <w:gridSpan w:val="2"/>
          </w:tcPr>
          <w:p w14:paraId="0BFA1F42" w14:textId="3D084E88" w:rsidR="00351337" w:rsidRDefault="00351337" w:rsidP="00351337">
            <w:pPr>
              <w:spacing w:before="60" w:after="60"/>
              <w:rPr>
                <w:b/>
                <w:bCs/>
              </w:rPr>
            </w:pPr>
            <w:r>
              <w:rPr>
                <w:b/>
                <w:bCs/>
              </w:rPr>
              <w:t>FinCEN Solicits Nominations for BSA Advisory Group.</w:t>
            </w:r>
          </w:p>
          <w:p w14:paraId="158DD762" w14:textId="2A8B88EF" w:rsidR="00351337" w:rsidRPr="00D24615" w:rsidRDefault="00351337" w:rsidP="00351337">
            <w:pPr>
              <w:spacing w:before="60" w:after="60"/>
              <w:jc w:val="center"/>
              <w:rPr>
                <w:b/>
                <w:bCs/>
              </w:rPr>
            </w:pPr>
            <w:hyperlink r:id="rId29" w:history="1">
              <w:r w:rsidRPr="00883C08">
                <w:rPr>
                  <w:rStyle w:val="Hyperlink"/>
                </w:rPr>
                <w:t>Read More</w:t>
              </w:r>
            </w:hyperlink>
          </w:p>
          <w:p w14:paraId="1691E279" w14:textId="16D445E8" w:rsidR="00351337" w:rsidRDefault="00351337" w:rsidP="00351337">
            <w:r w:rsidRPr="00883C08">
              <w:t xml:space="preserve">FinCEN </w:t>
            </w:r>
            <w:r w:rsidRPr="00B5430E">
              <w:t>is inviting nominations for membership on the Bank Secrecy Act Advisory Group (BSAAG). BSAAG membership is open to financial institutions subject to the Bank Secrecy Act (BSA), trade groups with members that are subject to the BSA, and federal and non-federal regulators and law enforcement agencies that are located within the United States. Membership is granted to organizations, not to individuals. Organizational members will be selected to serve a three-year term</w:t>
            </w:r>
            <w:r>
              <w:t>. Nominations must be received by January 16</w:t>
            </w:r>
            <w:r w:rsidRPr="00883C08">
              <w:rPr>
                <w:vertAlign w:val="superscript"/>
              </w:rPr>
              <w:t>th</w:t>
            </w:r>
            <w:r>
              <w:t xml:space="preserve">, 2024. </w:t>
            </w:r>
          </w:p>
          <w:p w14:paraId="34E1947A" w14:textId="4BCACF75" w:rsidR="00351337" w:rsidRPr="00314A7F" w:rsidRDefault="00351337" w:rsidP="00351337">
            <w:pPr>
              <w:jc w:val="right"/>
            </w:pPr>
            <w:r>
              <w:rPr>
                <w:sz w:val="16"/>
                <w:szCs w:val="16"/>
              </w:rPr>
              <w:t>12/1</w:t>
            </w:r>
            <w:r>
              <w:rPr>
                <w:sz w:val="16"/>
                <w:szCs w:val="16"/>
              </w:rPr>
              <w:t>5</w:t>
            </w:r>
            <w:r w:rsidRPr="00C85871">
              <w:rPr>
                <w:sz w:val="16"/>
                <w:szCs w:val="16"/>
              </w:rPr>
              <w:t>/2</w:t>
            </w:r>
            <w:r>
              <w:rPr>
                <w:sz w:val="16"/>
                <w:szCs w:val="16"/>
              </w:rPr>
              <w:t>3</w:t>
            </w:r>
          </w:p>
        </w:tc>
      </w:tr>
      <w:tr w:rsidR="00351337" w14:paraId="2C3F4C3D" w14:textId="77777777" w:rsidTr="00853F4F">
        <w:trPr>
          <w:trHeight w:val="445"/>
        </w:trPr>
        <w:tc>
          <w:tcPr>
            <w:tcW w:w="9355" w:type="dxa"/>
            <w:gridSpan w:val="2"/>
          </w:tcPr>
          <w:p w14:paraId="007CC259" w14:textId="77777777" w:rsidR="00351337" w:rsidRDefault="00351337" w:rsidP="00351337">
            <w:pPr>
              <w:spacing w:before="60" w:after="60"/>
              <w:rPr>
                <w:b/>
                <w:bCs/>
              </w:rPr>
            </w:pPr>
            <w:r w:rsidRPr="00AE75C6">
              <w:rPr>
                <w:b/>
                <w:bCs/>
              </w:rPr>
              <w:t>FinCEN Issues Final Rule Regarding Access to Beneficial Ownership Information</w:t>
            </w:r>
          </w:p>
          <w:p w14:paraId="7E024B33" w14:textId="02978FB2" w:rsidR="00351337" w:rsidRPr="00D24615" w:rsidRDefault="00351337" w:rsidP="00351337">
            <w:pPr>
              <w:spacing w:before="60" w:after="60"/>
              <w:jc w:val="center"/>
              <w:rPr>
                <w:b/>
                <w:bCs/>
              </w:rPr>
            </w:pPr>
            <w:hyperlink r:id="rId30" w:history="1">
              <w:r w:rsidRPr="00AE75C6">
                <w:rPr>
                  <w:rStyle w:val="Hyperlink"/>
                </w:rPr>
                <w:t>Read More</w:t>
              </w:r>
            </w:hyperlink>
          </w:p>
          <w:p w14:paraId="49C27BF3" w14:textId="3C1AA331" w:rsidR="00351337" w:rsidRDefault="00351337" w:rsidP="00351337">
            <w:pPr>
              <w:spacing w:after="120" w:line="240" w:lineRule="auto"/>
            </w:pPr>
            <w:r>
              <w:t>FinCEN has</w:t>
            </w:r>
            <w:r>
              <w:t xml:space="preserve"> issued a final rule that establishes the framework for access to and protection of beneficial ownership information (BOI). FinCEN is committed to creating a highly useful database for authorized BOI recipients while protecting this sensitive information from unauthorized disclosure. BOI will provide essential information to the law enforcement, intelligence, and national security professionals working to protect U.S. economic and national security. Financial institutions will also have access under certain circumstances.</w:t>
            </w:r>
          </w:p>
          <w:p w14:paraId="390BE9E0" w14:textId="25DC4862" w:rsidR="00351337" w:rsidRDefault="00351337" w:rsidP="00351337">
            <w:pPr>
              <w:spacing w:after="120"/>
            </w:pPr>
            <w:r>
              <w:t>FinCEN</w:t>
            </w:r>
            <w:r>
              <w:t>, along with the NCUA and other regulatory agencies,</w:t>
            </w:r>
            <w:r>
              <w:t xml:space="preserve"> </w:t>
            </w:r>
            <w:r>
              <w:t>has</w:t>
            </w:r>
            <w:r>
              <w:t xml:space="preserve"> also issu</w:t>
            </w:r>
            <w:r>
              <w:t>ed an</w:t>
            </w:r>
            <w:r>
              <w:t xml:space="preserve"> interagency statement to give financial institutions guidance on the interplay between the final rule and FinCEN’s existing Customer Due Diligence Rule.</w:t>
            </w:r>
          </w:p>
          <w:p w14:paraId="52D3E001" w14:textId="3302C07E" w:rsidR="00351337" w:rsidRDefault="00351337" w:rsidP="00351337">
            <w:pPr>
              <w:pStyle w:val="ListParagraph"/>
              <w:numPr>
                <w:ilvl w:val="0"/>
                <w:numId w:val="39"/>
              </w:numPr>
              <w:spacing w:after="0"/>
            </w:pPr>
            <w:hyperlink r:id="rId31" w:history="1">
              <w:r w:rsidRPr="00AE75C6">
                <w:rPr>
                  <w:rStyle w:val="Hyperlink"/>
                </w:rPr>
                <w:t>Final Rule, Beneficial Ownership Information Access and Safeguards</w:t>
              </w:r>
            </w:hyperlink>
            <w:r>
              <w:t xml:space="preserve"> </w:t>
            </w:r>
          </w:p>
          <w:p w14:paraId="74FAF4DB" w14:textId="65665FD2" w:rsidR="00351337" w:rsidRDefault="00351337" w:rsidP="00351337">
            <w:pPr>
              <w:pStyle w:val="ListParagraph"/>
              <w:numPr>
                <w:ilvl w:val="0"/>
                <w:numId w:val="39"/>
              </w:numPr>
            </w:pPr>
            <w:hyperlink r:id="rId32" w:history="1">
              <w:r w:rsidRPr="00AE75C6">
                <w:rPr>
                  <w:rStyle w:val="Hyperlink"/>
                </w:rPr>
                <w:t>Final Rule Fact Sheet</w:t>
              </w:r>
            </w:hyperlink>
            <w:r>
              <w:t xml:space="preserve"> </w:t>
            </w:r>
          </w:p>
          <w:p w14:paraId="7310EADD" w14:textId="2436FBFA" w:rsidR="00351337" w:rsidRDefault="00351337" w:rsidP="00351337">
            <w:pPr>
              <w:pStyle w:val="ListParagraph"/>
              <w:numPr>
                <w:ilvl w:val="0"/>
                <w:numId w:val="39"/>
              </w:numPr>
            </w:pPr>
            <w:hyperlink r:id="rId33" w:history="1">
              <w:r w:rsidRPr="00AE75C6">
                <w:rPr>
                  <w:rStyle w:val="Hyperlink"/>
                </w:rPr>
                <w:t>Interagency Statement</w:t>
              </w:r>
            </w:hyperlink>
            <w:r>
              <w:t xml:space="preserve"> </w:t>
            </w:r>
          </w:p>
          <w:p w14:paraId="12F06AD6" w14:textId="5C56FA0B" w:rsidR="00351337" w:rsidRDefault="00351337" w:rsidP="00351337">
            <w:pPr>
              <w:spacing w:before="60" w:after="60"/>
              <w:jc w:val="right"/>
              <w:rPr>
                <w:b/>
                <w:bCs/>
              </w:rPr>
            </w:pPr>
            <w:r>
              <w:rPr>
                <w:sz w:val="16"/>
                <w:szCs w:val="16"/>
              </w:rPr>
              <w:t>12/</w:t>
            </w:r>
            <w:r>
              <w:rPr>
                <w:sz w:val="16"/>
                <w:szCs w:val="16"/>
              </w:rPr>
              <w:t>21</w:t>
            </w:r>
            <w:r w:rsidRPr="00C85871">
              <w:rPr>
                <w:sz w:val="16"/>
                <w:szCs w:val="16"/>
              </w:rPr>
              <w:t>/2</w:t>
            </w:r>
            <w:r>
              <w:rPr>
                <w:sz w:val="16"/>
                <w:szCs w:val="16"/>
              </w:rPr>
              <w:t>3</w:t>
            </w:r>
          </w:p>
        </w:tc>
      </w:tr>
      <w:tr w:rsidR="00351337" w14:paraId="47F05C9A" w14:textId="77777777" w:rsidTr="00E527F6">
        <w:trPr>
          <w:trHeight w:val="445"/>
        </w:trPr>
        <w:tc>
          <w:tcPr>
            <w:tcW w:w="9355" w:type="dxa"/>
            <w:gridSpan w:val="2"/>
            <w:shd w:val="clear" w:color="auto" w:fill="ED7D31" w:themeFill="accent2"/>
          </w:tcPr>
          <w:p w14:paraId="5B543133" w14:textId="1FD09BA7" w:rsidR="00351337" w:rsidRDefault="00351337" w:rsidP="00351337">
            <w:pPr>
              <w:spacing w:before="60" w:after="60"/>
              <w:rPr>
                <w:b/>
                <w:bCs/>
              </w:rPr>
            </w:pPr>
            <w:r>
              <w:rPr>
                <w:b/>
                <w:bCs/>
                <w:color w:val="FFFFFF" w:themeColor="background1"/>
                <w:sz w:val="28"/>
                <w:szCs w:val="28"/>
              </w:rPr>
              <w:t>OFAC</w:t>
            </w:r>
          </w:p>
        </w:tc>
      </w:tr>
      <w:tr w:rsidR="00351337" w:rsidRPr="00314A7F" w14:paraId="3BFB967B" w14:textId="77777777" w:rsidTr="00E66D83">
        <w:trPr>
          <w:trHeight w:val="445"/>
        </w:trPr>
        <w:tc>
          <w:tcPr>
            <w:tcW w:w="9355" w:type="dxa"/>
            <w:gridSpan w:val="2"/>
          </w:tcPr>
          <w:p w14:paraId="31140899" w14:textId="24907BC3" w:rsidR="00351337" w:rsidRDefault="00351337" w:rsidP="00351337">
            <w:pPr>
              <w:spacing w:before="60" w:after="60"/>
              <w:rPr>
                <w:b/>
                <w:bCs/>
              </w:rPr>
            </w:pPr>
            <w:r w:rsidRPr="00D0122C">
              <w:rPr>
                <w:b/>
                <w:bCs/>
              </w:rPr>
              <w:t>Settlement Agreement between the U.S. Department of the Treasury's Office of Foreign Assets Control and CoinList Markets LLC</w:t>
            </w:r>
          </w:p>
          <w:p w14:paraId="689AAE98" w14:textId="2AC03645" w:rsidR="00351337" w:rsidRPr="00D24615" w:rsidRDefault="00351337" w:rsidP="00351337">
            <w:pPr>
              <w:spacing w:before="60" w:after="60"/>
              <w:jc w:val="center"/>
              <w:rPr>
                <w:b/>
                <w:bCs/>
              </w:rPr>
            </w:pPr>
            <w:hyperlink r:id="rId34" w:history="1">
              <w:r w:rsidRPr="00D0122C">
                <w:rPr>
                  <w:rStyle w:val="Hyperlink"/>
                </w:rPr>
                <w:t>Read More</w:t>
              </w:r>
            </w:hyperlink>
          </w:p>
          <w:p w14:paraId="1128F555" w14:textId="68157EFA" w:rsidR="00351337" w:rsidRDefault="00351337" w:rsidP="00351337">
            <w:pPr>
              <w:spacing w:before="60" w:after="60"/>
            </w:pPr>
            <w:r>
              <w:t xml:space="preserve">OFAC announced a </w:t>
            </w:r>
            <w:r w:rsidRPr="00D0122C">
              <w:t>$1,207,830 settlement with CoinList Markets LLC. CoinList agreed to settle its potential civil liability arising from processing 989 transactions on behalf of users ordinarily resident in Crimea between April 2020 and May 2022, in apparent violation of OFAC's Russia/Ukraine sanctions. The settlement amount reflects OFAC’s determination that CoinList's conduct was non-egregious and not voluntarily self-disclosed.</w:t>
            </w:r>
          </w:p>
          <w:p w14:paraId="6B5877DF" w14:textId="6A28467F" w:rsidR="00351337" w:rsidRPr="00314A7F" w:rsidRDefault="00351337" w:rsidP="00351337">
            <w:pPr>
              <w:spacing w:after="60"/>
              <w:jc w:val="right"/>
            </w:pPr>
            <w:r>
              <w:rPr>
                <w:sz w:val="16"/>
                <w:szCs w:val="16"/>
              </w:rPr>
              <w:t>12/13</w:t>
            </w:r>
            <w:r w:rsidRPr="004F7262">
              <w:rPr>
                <w:sz w:val="16"/>
                <w:szCs w:val="16"/>
              </w:rPr>
              <w:t>/2</w:t>
            </w:r>
            <w:r>
              <w:rPr>
                <w:sz w:val="16"/>
                <w:szCs w:val="16"/>
              </w:rPr>
              <w:t>3</w:t>
            </w:r>
          </w:p>
        </w:tc>
      </w:tr>
      <w:tr w:rsidR="00351337" w14:paraId="2A445657" w14:textId="77777777" w:rsidTr="00853F4F">
        <w:tc>
          <w:tcPr>
            <w:tcW w:w="9355" w:type="dxa"/>
            <w:gridSpan w:val="2"/>
            <w:shd w:val="clear" w:color="auto" w:fill="ED7D31" w:themeFill="accent2"/>
          </w:tcPr>
          <w:p w14:paraId="54FA881B" w14:textId="71AC5E27" w:rsidR="00351337" w:rsidRPr="00766443" w:rsidRDefault="00351337" w:rsidP="00351337">
            <w:pPr>
              <w:spacing w:before="60" w:after="60"/>
              <w:rPr>
                <w:b/>
                <w:bCs/>
              </w:rPr>
            </w:pPr>
            <w:bookmarkStart w:id="0" w:name="_Hlk149317230"/>
            <w:r w:rsidRPr="00766443">
              <w:rPr>
                <w:b/>
                <w:bCs/>
                <w:color w:val="FFFFFF" w:themeColor="background1"/>
                <w:sz w:val="28"/>
                <w:szCs w:val="28"/>
              </w:rPr>
              <w:t>CDFI Fund</w:t>
            </w:r>
          </w:p>
        </w:tc>
      </w:tr>
      <w:bookmarkEnd w:id="0"/>
      <w:tr w:rsidR="00351337" w14:paraId="1E27C821" w14:textId="77777777" w:rsidTr="00853F4F">
        <w:trPr>
          <w:trHeight w:val="445"/>
        </w:trPr>
        <w:tc>
          <w:tcPr>
            <w:tcW w:w="9355" w:type="dxa"/>
            <w:gridSpan w:val="2"/>
          </w:tcPr>
          <w:p w14:paraId="40498910" w14:textId="659A7C2B" w:rsidR="00351337" w:rsidRDefault="00351337" w:rsidP="00351337">
            <w:pPr>
              <w:spacing w:before="60" w:after="60"/>
              <w:rPr>
                <w:b/>
                <w:bCs/>
              </w:rPr>
            </w:pPr>
            <w:r w:rsidRPr="000E48C7">
              <w:rPr>
                <w:b/>
                <w:bCs/>
              </w:rPr>
              <w:t>Revised CDFI Certification Application Now Available in AMIS</w:t>
            </w:r>
          </w:p>
          <w:p w14:paraId="601C0AB8" w14:textId="1FAE1EE5" w:rsidR="00351337" w:rsidRPr="00A71CFF" w:rsidRDefault="00351337" w:rsidP="00351337">
            <w:pPr>
              <w:spacing w:before="60" w:after="60"/>
              <w:jc w:val="center"/>
              <w:rPr>
                <w:b/>
                <w:bCs/>
              </w:rPr>
            </w:pPr>
            <w:hyperlink r:id="rId35" w:history="1">
              <w:r w:rsidRPr="000E48C7">
                <w:rPr>
                  <w:rStyle w:val="Hyperlink"/>
                </w:rPr>
                <w:t>Read More</w:t>
              </w:r>
            </w:hyperlink>
          </w:p>
          <w:p w14:paraId="785AA177" w14:textId="321D19FB" w:rsidR="00351337" w:rsidRDefault="00351337" w:rsidP="00351337">
            <w:pPr>
              <w:spacing w:before="60" w:after="60"/>
            </w:pPr>
            <w:r w:rsidRPr="009A76CB">
              <w:t xml:space="preserve">The revised CDFI Certification Application is now available for submission in the Community Development Financial Institutions Fund’s Awards Management Information System (AMIS). However, as previously indicated earlier this month, the </w:t>
            </w:r>
            <w:r w:rsidRPr="0046138B">
              <w:t>CDFI Fund is instituting a phased approach for organizations seeking to become newly Certified or renew their CDFI Certification</w:t>
            </w:r>
            <w:r>
              <w:t>:</w:t>
            </w:r>
          </w:p>
          <w:p w14:paraId="47F153EE" w14:textId="77777777" w:rsidR="00351337" w:rsidRDefault="00351337" w:rsidP="00351337">
            <w:pPr>
              <w:pStyle w:val="ListParagraph"/>
              <w:numPr>
                <w:ilvl w:val="0"/>
                <w:numId w:val="31"/>
              </w:numPr>
              <w:spacing w:before="60" w:after="60" w:line="259" w:lineRule="auto"/>
            </w:pPr>
            <w:r w:rsidRPr="0046138B">
              <w:t>Only non-certified organizations will be able to immediately apply for CDFI Certification.</w:t>
            </w:r>
            <w:r>
              <w:t xml:space="preserve"> </w:t>
            </w:r>
            <w:r w:rsidRPr="0046138B">
              <w:t>For those non-certified organizations interested in submitting an Application for CDFI Certification, the CDFI Fund will reopen the CDFI Certification Application AMIS submission portal on December 20, 2023.</w:t>
            </w:r>
          </w:p>
          <w:p w14:paraId="75C20F31" w14:textId="77777777" w:rsidR="00351337" w:rsidRDefault="00351337" w:rsidP="00351337">
            <w:pPr>
              <w:pStyle w:val="ListParagraph"/>
              <w:numPr>
                <w:ilvl w:val="0"/>
                <w:numId w:val="31"/>
              </w:numPr>
              <w:spacing w:before="60" w:after="60" w:line="259" w:lineRule="auto"/>
            </w:pPr>
            <w:r w:rsidRPr="0046138B">
              <w:t xml:space="preserve">All currently Certified CDFIs will be required to reapply for Certification using the revised version of the Certification Application by December 20, 2024. Until this date, currently Certified CDFIs will: </w:t>
            </w:r>
          </w:p>
          <w:p w14:paraId="3EF94ED3" w14:textId="77777777" w:rsidR="00351337" w:rsidRDefault="00351337" w:rsidP="00351337">
            <w:pPr>
              <w:pStyle w:val="ListParagraph"/>
              <w:numPr>
                <w:ilvl w:val="1"/>
                <w:numId w:val="31"/>
              </w:numPr>
              <w:spacing w:before="60" w:after="60" w:line="259" w:lineRule="auto"/>
            </w:pPr>
            <w:r w:rsidRPr="0046138B">
              <w:t xml:space="preserve">retain their status as Certified CDFIs; and </w:t>
            </w:r>
          </w:p>
          <w:p w14:paraId="102DBB7D" w14:textId="73E1F823" w:rsidR="00351337" w:rsidRDefault="00351337" w:rsidP="00351337">
            <w:pPr>
              <w:pStyle w:val="ListParagraph"/>
              <w:numPr>
                <w:ilvl w:val="1"/>
                <w:numId w:val="31"/>
              </w:numPr>
              <w:spacing w:before="60" w:after="60" w:line="259" w:lineRule="auto"/>
            </w:pPr>
            <w:r w:rsidRPr="0046138B">
              <w:t>2) remain eligible to apply for all CDFI Fund programs where CDFI Certification is an eligibility requirement—provided they abide by ACR reporting requirements and have no material event affecting their CDFI Certification status.</w:t>
            </w:r>
          </w:p>
          <w:p w14:paraId="6D7AE172" w14:textId="426ACFAE" w:rsidR="00351337" w:rsidRDefault="00351337" w:rsidP="00351337">
            <w:pPr>
              <w:spacing w:after="60"/>
              <w:jc w:val="right"/>
            </w:pPr>
            <w:r>
              <w:rPr>
                <w:sz w:val="16"/>
                <w:szCs w:val="16"/>
              </w:rPr>
              <w:t>12/20</w:t>
            </w:r>
            <w:r w:rsidRPr="00276373">
              <w:rPr>
                <w:sz w:val="16"/>
                <w:szCs w:val="16"/>
              </w:rPr>
              <w:t>/2</w:t>
            </w:r>
            <w:r>
              <w:rPr>
                <w:sz w:val="16"/>
                <w:szCs w:val="16"/>
              </w:rPr>
              <w:t>3</w:t>
            </w:r>
          </w:p>
        </w:tc>
      </w:tr>
      <w:tr w:rsidR="00351337" w14:paraId="212B12A5" w14:textId="77777777" w:rsidTr="00853F4F">
        <w:trPr>
          <w:trHeight w:val="445"/>
        </w:trPr>
        <w:tc>
          <w:tcPr>
            <w:tcW w:w="9355" w:type="dxa"/>
            <w:gridSpan w:val="2"/>
          </w:tcPr>
          <w:p w14:paraId="1D6C334E" w14:textId="6C54873D" w:rsidR="00351337" w:rsidRDefault="00351337" w:rsidP="00351337">
            <w:pPr>
              <w:spacing w:before="60" w:after="60"/>
              <w:rPr>
                <w:b/>
                <w:bCs/>
              </w:rPr>
            </w:pPr>
            <w:r w:rsidRPr="002F0348">
              <w:rPr>
                <w:b/>
                <w:bCs/>
              </w:rPr>
              <w:t>Virtual Public Meeting of the CDFI Fund's Advisory Board Rescheduled</w:t>
            </w:r>
          </w:p>
          <w:p w14:paraId="5AF8EDCF" w14:textId="7A321AFB" w:rsidR="00351337" w:rsidRPr="00A71CFF" w:rsidRDefault="00351337" w:rsidP="00351337">
            <w:pPr>
              <w:spacing w:before="60" w:after="60"/>
              <w:jc w:val="center"/>
              <w:rPr>
                <w:b/>
                <w:bCs/>
              </w:rPr>
            </w:pPr>
            <w:hyperlink r:id="rId36" w:history="1">
              <w:r w:rsidRPr="002F0348">
                <w:rPr>
                  <w:rStyle w:val="Hyperlink"/>
                </w:rPr>
                <w:t>Read More</w:t>
              </w:r>
            </w:hyperlink>
          </w:p>
          <w:p w14:paraId="1BD8BBB0" w14:textId="54CAEDC4" w:rsidR="00351337" w:rsidRPr="00EA50D0" w:rsidRDefault="00351337" w:rsidP="00351337">
            <w:pPr>
              <w:spacing w:before="60" w:after="60"/>
            </w:pPr>
            <w:r w:rsidRPr="002F0348">
              <w:t xml:space="preserve">The meeting of the Community Development Advisory Board (the Advisory Board) originally scheduled for November 28, 2023, has been rescheduled to 3:00 to 4:30 p.m. </w:t>
            </w:r>
            <w:r>
              <w:t>EST</w:t>
            </w:r>
            <w:r w:rsidRPr="002F0348">
              <w:t xml:space="preserve"> on Wednesday, January 17, 2024. This meeting will be conducted virtually.</w:t>
            </w:r>
          </w:p>
          <w:p w14:paraId="7BFFD8BF" w14:textId="499B4779" w:rsidR="00351337" w:rsidRPr="00276373" w:rsidRDefault="00351337" w:rsidP="00351337">
            <w:pPr>
              <w:spacing w:before="60" w:after="60"/>
              <w:jc w:val="right"/>
              <w:rPr>
                <w:b/>
                <w:bCs/>
              </w:rPr>
            </w:pPr>
            <w:r>
              <w:rPr>
                <w:sz w:val="16"/>
                <w:szCs w:val="16"/>
              </w:rPr>
              <w:t>1/2</w:t>
            </w:r>
            <w:r w:rsidRPr="00276373">
              <w:rPr>
                <w:sz w:val="16"/>
                <w:szCs w:val="16"/>
              </w:rPr>
              <w:t>/2</w:t>
            </w:r>
            <w:r>
              <w:rPr>
                <w:sz w:val="16"/>
                <w:szCs w:val="16"/>
              </w:rPr>
              <w:t>4</w:t>
            </w:r>
          </w:p>
        </w:tc>
      </w:tr>
      <w:tr w:rsidR="00351337" w14:paraId="28DC2F1F" w14:textId="77777777" w:rsidTr="00853F4F">
        <w:trPr>
          <w:trHeight w:val="445"/>
        </w:trPr>
        <w:tc>
          <w:tcPr>
            <w:tcW w:w="9355" w:type="dxa"/>
            <w:gridSpan w:val="2"/>
          </w:tcPr>
          <w:p w14:paraId="5F81E5B7" w14:textId="32972811" w:rsidR="00351337" w:rsidRDefault="005026B3" w:rsidP="00351337">
            <w:pPr>
              <w:spacing w:before="60" w:after="60"/>
              <w:rPr>
                <w:b/>
                <w:bCs/>
              </w:rPr>
            </w:pPr>
            <w:r w:rsidRPr="005026B3">
              <w:rPr>
                <w:b/>
                <w:bCs/>
              </w:rPr>
              <w:t>FinCEN Issues Analysis of Identity-Related Suspicious Activity</w:t>
            </w:r>
          </w:p>
          <w:p w14:paraId="40EBB417" w14:textId="7C94FE92" w:rsidR="00351337" w:rsidRDefault="005026B3" w:rsidP="00351337">
            <w:pPr>
              <w:spacing w:before="60" w:after="60"/>
              <w:jc w:val="center"/>
            </w:pPr>
            <w:hyperlink r:id="rId37" w:history="1">
              <w:r w:rsidR="00351337" w:rsidRPr="005026B3">
                <w:rPr>
                  <w:rStyle w:val="Hyperlink"/>
                </w:rPr>
                <w:t>Read More</w:t>
              </w:r>
            </w:hyperlink>
          </w:p>
          <w:p w14:paraId="4E52F63A" w14:textId="0B5B2577" w:rsidR="005026B3" w:rsidRDefault="005026B3" w:rsidP="005026B3">
            <w:pPr>
              <w:spacing w:before="60" w:after="120" w:line="240" w:lineRule="auto"/>
            </w:pPr>
            <w:r>
              <w:t xml:space="preserve">FinCEN </w:t>
            </w:r>
            <w:r>
              <w:t>issued a Financial Trend Analysis (FTA) on information linked to identity-related suspicious activity in Bank Secrecy Act (BSA) reports filed in calendar year 2021.  FinCEN’s analysis found that approximately 1.6 million reports (42% of the reports filed that year) related to identity—indicating $212 billion in suspicious activity.</w:t>
            </w:r>
          </w:p>
          <w:p w14:paraId="7E95DCC0" w14:textId="52ED7FF3" w:rsidR="00351337" w:rsidRDefault="005026B3" w:rsidP="005026B3">
            <w:pPr>
              <w:spacing w:before="60" w:after="60"/>
              <w:ind w:left="345"/>
            </w:pPr>
            <w:hyperlink r:id="rId38" w:history="1">
              <w:r w:rsidRPr="005026B3">
                <w:rPr>
                  <w:rStyle w:val="Hyperlink"/>
                </w:rPr>
                <w:t>Financial Trend Analysis</w:t>
              </w:r>
            </w:hyperlink>
          </w:p>
          <w:p w14:paraId="11814FB9" w14:textId="0744899C" w:rsidR="00351337" w:rsidRPr="00961E99" w:rsidRDefault="005026B3" w:rsidP="00351337">
            <w:pPr>
              <w:spacing w:before="60" w:after="60"/>
              <w:jc w:val="right"/>
            </w:pPr>
            <w:r>
              <w:rPr>
                <w:sz w:val="16"/>
                <w:szCs w:val="16"/>
              </w:rPr>
              <w:t>1/9</w:t>
            </w:r>
            <w:r w:rsidR="00351337" w:rsidRPr="00276373">
              <w:rPr>
                <w:sz w:val="16"/>
                <w:szCs w:val="16"/>
              </w:rPr>
              <w:t>/2</w:t>
            </w:r>
            <w:r w:rsidR="00351337">
              <w:rPr>
                <w:sz w:val="16"/>
                <w:szCs w:val="16"/>
              </w:rPr>
              <w:t>4</w:t>
            </w:r>
          </w:p>
        </w:tc>
      </w:tr>
      <w:tr w:rsidR="00351337" w14:paraId="4D58C768" w14:textId="77777777" w:rsidTr="00853F4F">
        <w:tc>
          <w:tcPr>
            <w:tcW w:w="9355" w:type="dxa"/>
            <w:gridSpan w:val="2"/>
            <w:shd w:val="clear" w:color="auto" w:fill="4472C4" w:themeFill="accent1"/>
          </w:tcPr>
          <w:p w14:paraId="50E71D38" w14:textId="200A9E43" w:rsidR="00351337" w:rsidRPr="00766443" w:rsidRDefault="00351337" w:rsidP="00351337">
            <w:pPr>
              <w:spacing w:before="120" w:after="120"/>
              <w:jc w:val="center"/>
              <w:rPr>
                <w:b/>
                <w:bCs/>
              </w:rPr>
            </w:pPr>
            <w:r>
              <w:rPr>
                <w:b/>
                <w:bCs/>
                <w:color w:val="FFFFFF" w:themeColor="background1"/>
                <w:sz w:val="28"/>
                <w:szCs w:val="28"/>
              </w:rPr>
              <w:t>Other Points of Interest</w:t>
            </w:r>
          </w:p>
        </w:tc>
      </w:tr>
      <w:tr w:rsidR="00351337" w14:paraId="20730DA1" w14:textId="77777777" w:rsidTr="00853F4F">
        <w:tc>
          <w:tcPr>
            <w:tcW w:w="9355" w:type="dxa"/>
            <w:gridSpan w:val="2"/>
          </w:tcPr>
          <w:p w14:paraId="5B9BB8B1" w14:textId="20F3BD8E" w:rsidR="00351337" w:rsidRDefault="00351337" w:rsidP="00351337">
            <w:pPr>
              <w:spacing w:before="60" w:after="60"/>
            </w:pPr>
            <w:r w:rsidRPr="00C1360C">
              <w:t>Regarding the delay of Dodd-Frank Section 1071 (CFPB Small Business Lending Rule) Implementation:</w:t>
            </w:r>
            <w:r>
              <w:t xml:space="preserve">  Most recently, the House has passed a resolution to block the rule, which was subsequently vetoed by the President. </w:t>
            </w:r>
          </w:p>
          <w:p w14:paraId="00095870" w14:textId="77777777" w:rsidR="00351337" w:rsidRPr="001E4EC1" w:rsidRDefault="00351337" w:rsidP="00351337">
            <w:pPr>
              <w:rPr>
                <w:u w:val="single"/>
              </w:rPr>
            </w:pPr>
            <w:r w:rsidRPr="001E4EC1">
              <w:rPr>
                <w:u w:val="single"/>
              </w:rPr>
              <w:t>Full timeline:</w:t>
            </w:r>
          </w:p>
          <w:p w14:paraId="01927704" w14:textId="0069E909" w:rsidR="00351337" w:rsidRDefault="00351337" w:rsidP="00351337">
            <w:pPr>
              <w:pStyle w:val="ListParagraph"/>
              <w:numPr>
                <w:ilvl w:val="0"/>
                <w:numId w:val="8"/>
              </w:numPr>
              <w:tabs>
                <w:tab w:val="left" w:pos="1620"/>
              </w:tabs>
            </w:pPr>
            <w:hyperlink r:id="rId39" w:history="1">
              <w:r w:rsidRPr="001E4EC1">
                <w:rPr>
                  <w:rStyle w:val="Hyperlink"/>
                </w:rPr>
                <w:t>8/1/23</w:t>
              </w:r>
            </w:hyperlink>
            <w:r>
              <w:t xml:space="preserve"> </w:t>
            </w:r>
            <w:r>
              <w:tab/>
              <w:t>–  Rule blocked by TX federal judge for certain banks.</w:t>
            </w:r>
          </w:p>
          <w:p w14:paraId="6AEC7C04" w14:textId="7A1D9C03" w:rsidR="00351337" w:rsidRDefault="00351337" w:rsidP="00351337">
            <w:pPr>
              <w:pStyle w:val="ListParagraph"/>
              <w:numPr>
                <w:ilvl w:val="0"/>
                <w:numId w:val="8"/>
              </w:numPr>
              <w:tabs>
                <w:tab w:val="left" w:pos="1620"/>
              </w:tabs>
            </w:pPr>
            <w:hyperlink r:id="rId40" w:history="1">
              <w:r w:rsidRPr="001E4EC1">
                <w:rPr>
                  <w:rStyle w:val="Hyperlink"/>
                </w:rPr>
                <w:t>8/7/23</w:t>
              </w:r>
            </w:hyperlink>
            <w:r>
              <w:t xml:space="preserve"> </w:t>
            </w:r>
            <w:r>
              <w:tab/>
              <w:t>–  CUNA, NAFCU write to CFPB requesting stay for all covered entities.</w:t>
            </w:r>
          </w:p>
          <w:p w14:paraId="0D5E895B" w14:textId="5CF72390" w:rsidR="00351337" w:rsidRDefault="00351337" w:rsidP="00351337">
            <w:pPr>
              <w:pStyle w:val="ListParagraph"/>
              <w:numPr>
                <w:ilvl w:val="0"/>
                <w:numId w:val="8"/>
              </w:numPr>
              <w:tabs>
                <w:tab w:val="left" w:pos="1620"/>
              </w:tabs>
            </w:pPr>
            <w:hyperlink r:id="rId41" w:history="1">
              <w:r w:rsidRPr="001E4EC1">
                <w:rPr>
                  <w:rStyle w:val="Hyperlink"/>
                </w:rPr>
                <w:t>8/10/23</w:t>
              </w:r>
            </w:hyperlink>
            <w:r>
              <w:t xml:space="preserve"> </w:t>
            </w:r>
            <w:r>
              <w:tab/>
              <w:t>–  CUNA files motion to intervene with TX court.</w:t>
            </w:r>
          </w:p>
          <w:p w14:paraId="7EC80D25" w14:textId="101C38F0" w:rsidR="00351337" w:rsidRDefault="00351337" w:rsidP="00351337">
            <w:pPr>
              <w:pStyle w:val="ListParagraph"/>
              <w:numPr>
                <w:ilvl w:val="0"/>
                <w:numId w:val="8"/>
              </w:numPr>
              <w:tabs>
                <w:tab w:val="left" w:pos="1620"/>
              </w:tabs>
            </w:pPr>
            <w:hyperlink r:id="rId42" w:history="1">
              <w:r w:rsidRPr="001E4EC1">
                <w:rPr>
                  <w:rStyle w:val="Hyperlink"/>
                </w:rPr>
                <w:t>8/14/23</w:t>
              </w:r>
            </w:hyperlink>
            <w:r>
              <w:t xml:space="preserve"> </w:t>
            </w:r>
            <w:r>
              <w:tab/>
              <w:t>–  TX court grants CUNA’s motion to intervene.</w:t>
            </w:r>
          </w:p>
          <w:p w14:paraId="5BAD4145" w14:textId="25C0F8B3" w:rsidR="00351337" w:rsidRDefault="00351337" w:rsidP="00351337">
            <w:pPr>
              <w:pStyle w:val="ListParagraph"/>
              <w:numPr>
                <w:ilvl w:val="0"/>
                <w:numId w:val="8"/>
              </w:numPr>
              <w:tabs>
                <w:tab w:val="left" w:pos="1620"/>
              </w:tabs>
            </w:pPr>
            <w:hyperlink r:id="rId43" w:history="1">
              <w:r w:rsidRPr="002F790E">
                <w:rPr>
                  <w:rStyle w:val="Hyperlink"/>
                </w:rPr>
                <w:t>8/17/23</w:t>
              </w:r>
            </w:hyperlink>
            <w:r>
              <w:t xml:space="preserve"> </w:t>
            </w:r>
            <w:r>
              <w:tab/>
              <w:t>–  CUNA filed to join an Emergency Motion for Preliminary Injunction.</w:t>
            </w:r>
          </w:p>
          <w:p w14:paraId="20ADE596" w14:textId="7D9822E4" w:rsidR="00351337" w:rsidRDefault="00351337" w:rsidP="00351337">
            <w:pPr>
              <w:pStyle w:val="ListParagraph"/>
              <w:numPr>
                <w:ilvl w:val="0"/>
                <w:numId w:val="8"/>
              </w:numPr>
              <w:tabs>
                <w:tab w:val="left" w:pos="1620"/>
                <w:tab w:val="left" w:pos="1785"/>
              </w:tabs>
            </w:pPr>
            <w:hyperlink r:id="rId44" w:history="1">
              <w:r w:rsidRPr="002F790E">
                <w:rPr>
                  <w:rStyle w:val="Hyperlink"/>
                </w:rPr>
                <w:t>9/1/23</w:t>
              </w:r>
            </w:hyperlink>
            <w:r>
              <w:t xml:space="preserve"> </w:t>
            </w:r>
            <w:r>
              <w:tab/>
              <w:t>–  Eight Senators wrote to CFPB Director Chopra requesting stay for all covered</w:t>
            </w:r>
            <w:r>
              <w:br/>
            </w:r>
            <w:r>
              <w:tab/>
            </w:r>
            <w:r>
              <w:tab/>
              <w:t xml:space="preserve"> entities.</w:t>
            </w:r>
          </w:p>
          <w:p w14:paraId="4A4D6616" w14:textId="43A9FD7C" w:rsidR="00351337" w:rsidRDefault="00351337" w:rsidP="00351337">
            <w:pPr>
              <w:pStyle w:val="ListParagraph"/>
              <w:numPr>
                <w:ilvl w:val="0"/>
                <w:numId w:val="8"/>
              </w:numPr>
              <w:tabs>
                <w:tab w:val="left" w:pos="1620"/>
                <w:tab w:val="left" w:pos="1785"/>
              </w:tabs>
            </w:pPr>
            <w:hyperlink r:id="rId45" w:history="1">
              <w:r w:rsidRPr="002F790E">
                <w:rPr>
                  <w:rStyle w:val="Hyperlink"/>
                </w:rPr>
                <w:t>10/18/23</w:t>
              </w:r>
            </w:hyperlink>
            <w:r>
              <w:t xml:space="preserve"> –  Senate passes joint resolution of disapproval of 1071 rule. Biden administration</w:t>
            </w:r>
            <w:r>
              <w:br/>
            </w:r>
            <w:r>
              <w:tab/>
            </w:r>
            <w:r>
              <w:tab/>
              <w:t xml:space="preserve"> </w:t>
            </w:r>
            <w:hyperlink r:id="rId46" w:history="1">
              <w:r w:rsidRPr="002F790E">
                <w:rPr>
                  <w:rStyle w:val="Hyperlink"/>
                </w:rPr>
                <w:t>opposes</w:t>
              </w:r>
            </w:hyperlink>
            <w:r>
              <w:t>.</w:t>
            </w:r>
          </w:p>
          <w:p w14:paraId="3604E5A2" w14:textId="6B6E61B3" w:rsidR="00351337" w:rsidRDefault="00351337" w:rsidP="00351337">
            <w:pPr>
              <w:pStyle w:val="ListParagraph"/>
              <w:numPr>
                <w:ilvl w:val="0"/>
                <w:numId w:val="8"/>
              </w:numPr>
              <w:tabs>
                <w:tab w:val="left" w:pos="1620"/>
              </w:tabs>
              <w:spacing w:after="60"/>
            </w:pPr>
            <w:hyperlink r:id="rId47" w:history="1">
              <w:r w:rsidRPr="002F790E">
                <w:rPr>
                  <w:rStyle w:val="Hyperlink"/>
                </w:rPr>
                <w:t>10/26/23</w:t>
              </w:r>
            </w:hyperlink>
            <w:r>
              <w:t xml:space="preserve"> –  TX court grants CUNA’s 8/17 joinder and expands stay for all covered entities.</w:t>
            </w:r>
          </w:p>
          <w:p w14:paraId="312C6578" w14:textId="367B6022" w:rsidR="00351337" w:rsidRDefault="00351337" w:rsidP="00351337">
            <w:pPr>
              <w:pStyle w:val="ListParagraph"/>
              <w:numPr>
                <w:ilvl w:val="0"/>
                <w:numId w:val="8"/>
              </w:numPr>
              <w:tabs>
                <w:tab w:val="left" w:pos="1620"/>
              </w:tabs>
              <w:spacing w:after="60"/>
            </w:pPr>
            <w:hyperlink r:id="rId48" w:history="1">
              <w:r w:rsidRPr="0024332D">
                <w:rPr>
                  <w:rStyle w:val="Hyperlink"/>
                </w:rPr>
                <w:t>12/4/23</w:t>
              </w:r>
            </w:hyperlink>
            <w:r>
              <w:t xml:space="preserve"> – House of Representatives passes resolution to block 1071 rule.</w:t>
            </w:r>
          </w:p>
          <w:p w14:paraId="59CDA63D" w14:textId="6F34410C" w:rsidR="00351337" w:rsidRDefault="00351337" w:rsidP="00351337">
            <w:pPr>
              <w:pStyle w:val="ListParagraph"/>
              <w:numPr>
                <w:ilvl w:val="0"/>
                <w:numId w:val="8"/>
              </w:numPr>
              <w:tabs>
                <w:tab w:val="left" w:pos="1620"/>
              </w:tabs>
              <w:spacing w:after="60"/>
            </w:pPr>
            <w:hyperlink r:id="rId49" w:history="1">
              <w:r w:rsidRPr="00D3408A">
                <w:rPr>
                  <w:rStyle w:val="Hyperlink"/>
                </w:rPr>
                <w:t>12/19/23</w:t>
              </w:r>
            </w:hyperlink>
            <w:r>
              <w:t xml:space="preserve"> – </w:t>
            </w:r>
            <w:r w:rsidRPr="00D3408A">
              <w:t>Biden</w:t>
            </w:r>
            <w:r>
              <w:t xml:space="preserve"> </w:t>
            </w:r>
            <w:r w:rsidRPr="00D3408A">
              <w:t>vetoes resolution to void CFPB Section 1071 rule</w:t>
            </w:r>
          </w:p>
          <w:p w14:paraId="7AAED6CA" w14:textId="55E03B81" w:rsidR="00351337" w:rsidRPr="007A2D92" w:rsidRDefault="00351337" w:rsidP="00351337">
            <w:pPr>
              <w:spacing w:after="60"/>
              <w:jc w:val="right"/>
              <w:rPr>
                <w:sz w:val="16"/>
                <w:szCs w:val="16"/>
              </w:rPr>
            </w:pPr>
            <w:r>
              <w:rPr>
                <w:sz w:val="16"/>
                <w:szCs w:val="16"/>
              </w:rPr>
              <w:t>Updated: 12/19/23</w:t>
            </w:r>
          </w:p>
        </w:tc>
      </w:tr>
      <w:tr w:rsidR="00351337" w14:paraId="7F5039C1" w14:textId="77777777" w:rsidTr="00853F4F">
        <w:tc>
          <w:tcPr>
            <w:tcW w:w="9355" w:type="dxa"/>
            <w:gridSpan w:val="2"/>
          </w:tcPr>
          <w:p w14:paraId="53870E33" w14:textId="479830DA" w:rsidR="00351337" w:rsidRDefault="00351337" w:rsidP="00351337">
            <w:pPr>
              <w:spacing w:before="60" w:after="60"/>
              <w:rPr>
                <w:b/>
                <w:bCs/>
              </w:rPr>
            </w:pPr>
            <w:r>
              <w:rPr>
                <w:b/>
                <w:bCs/>
              </w:rPr>
              <w:t xml:space="preserve">MCUL Issues Compliance Alert Regarding the </w:t>
            </w:r>
            <w:r w:rsidRPr="00123413">
              <w:rPr>
                <w:b/>
                <w:bCs/>
              </w:rPr>
              <w:t>Redemption of Credit Card Reward Points under NY Bill S133B</w:t>
            </w:r>
          </w:p>
          <w:p w14:paraId="7F388D9F" w14:textId="2FC0EA39" w:rsidR="00351337" w:rsidRDefault="00351337" w:rsidP="00351337">
            <w:pPr>
              <w:spacing w:before="60" w:after="60"/>
              <w:jc w:val="center"/>
            </w:pPr>
            <w:hyperlink r:id="rId50" w:history="1">
              <w:r w:rsidRPr="00123413">
                <w:rPr>
                  <w:rStyle w:val="Hyperlink"/>
                </w:rPr>
                <w:t>Read More</w:t>
              </w:r>
            </w:hyperlink>
          </w:p>
          <w:p w14:paraId="02ECC15C" w14:textId="66F985AA" w:rsidR="00351337" w:rsidRDefault="00351337" w:rsidP="00351337">
            <w:pPr>
              <w:spacing w:before="60" w:after="60" w:line="240" w:lineRule="auto"/>
            </w:pPr>
            <w:r>
              <w:lastRenderedPageBreak/>
              <w:t xml:space="preserve">MCUL has been coordinating with CUNA, as well as the NY Credit Union Association (NYCUA) and their outside counsel to determine </w:t>
            </w:r>
            <w:r>
              <w:t>the applicability of the NY law on credit unions not headquartered in the state.</w:t>
            </w:r>
            <w:r>
              <w:t xml:space="preserve"> Given the complexity of interstate legal jurisdiction and given several open questions that will not be answered until legal action is pursued, certainty on this matter is yet to be had. However, based on reviews of the law and the surrounding context conducted by CUNA and NYCUA’s outside counsel, it has been determined that it is very likely that Michigan credit unions will need to comply with the law, if the following circumstances exist:</w:t>
            </w:r>
          </w:p>
          <w:p w14:paraId="4FC29567" w14:textId="4BA8CF95" w:rsidR="00351337" w:rsidRDefault="00351337" w:rsidP="00351337">
            <w:pPr>
              <w:pStyle w:val="ListParagraph"/>
              <w:numPr>
                <w:ilvl w:val="0"/>
                <w:numId w:val="41"/>
              </w:numPr>
              <w:spacing w:before="60" w:after="60" w:line="240" w:lineRule="auto"/>
            </w:pPr>
            <w:r>
              <w:t>You have members residing in the state of New York; and</w:t>
            </w:r>
          </w:p>
          <w:p w14:paraId="43DD6978" w14:textId="09FAF76B" w:rsidR="00351337" w:rsidRDefault="00351337" w:rsidP="00351337">
            <w:pPr>
              <w:pStyle w:val="ListParagraph"/>
              <w:numPr>
                <w:ilvl w:val="0"/>
                <w:numId w:val="41"/>
              </w:numPr>
              <w:spacing w:before="60" w:after="60"/>
            </w:pPr>
            <w:r>
              <w:t>Those members have been issued credit cards with rewards programs.</w:t>
            </w:r>
          </w:p>
          <w:p w14:paraId="7CF827E8" w14:textId="11D9CE2D" w:rsidR="00351337" w:rsidRPr="004E7AD3" w:rsidRDefault="00351337" w:rsidP="00351337">
            <w:pPr>
              <w:spacing w:before="60" w:after="60"/>
            </w:pPr>
            <w:r>
              <w:t>Review the full compliance alert for more details.</w:t>
            </w:r>
          </w:p>
          <w:p w14:paraId="094D8E14" w14:textId="1193A43C" w:rsidR="00351337" w:rsidRPr="008F45BD" w:rsidRDefault="00351337" w:rsidP="00351337">
            <w:pPr>
              <w:spacing w:before="60" w:after="60"/>
              <w:jc w:val="right"/>
            </w:pPr>
            <w:r>
              <w:rPr>
                <w:sz w:val="16"/>
                <w:szCs w:val="16"/>
              </w:rPr>
              <w:t>12/22/23</w:t>
            </w:r>
          </w:p>
        </w:tc>
      </w:tr>
      <w:tr w:rsidR="00351337" w14:paraId="4A5CA6D0" w14:textId="77777777" w:rsidTr="00853F4F">
        <w:tc>
          <w:tcPr>
            <w:tcW w:w="9355" w:type="dxa"/>
            <w:gridSpan w:val="2"/>
          </w:tcPr>
          <w:p w14:paraId="13F25A2A" w14:textId="16C7816F" w:rsidR="00351337" w:rsidRDefault="00351337" w:rsidP="00351337">
            <w:pPr>
              <w:spacing w:before="60" w:after="60"/>
              <w:rPr>
                <w:b/>
                <w:bCs/>
              </w:rPr>
            </w:pPr>
            <w:r w:rsidRPr="00614B1F">
              <w:rPr>
                <w:b/>
                <w:bCs/>
              </w:rPr>
              <w:lastRenderedPageBreak/>
              <w:t>Agencies release fall rulemaking agendas</w:t>
            </w:r>
            <w:r>
              <w:rPr>
                <w:b/>
                <w:bCs/>
              </w:rPr>
              <w:t>.</w:t>
            </w:r>
          </w:p>
          <w:p w14:paraId="5379B06F" w14:textId="1C0B6B25" w:rsidR="00351337" w:rsidRDefault="00351337" w:rsidP="00351337">
            <w:pPr>
              <w:spacing w:before="60" w:after="60"/>
              <w:jc w:val="center"/>
            </w:pPr>
            <w:hyperlink r:id="rId51" w:history="1">
              <w:r w:rsidRPr="00614B1F">
                <w:rPr>
                  <w:rStyle w:val="Hyperlink"/>
                </w:rPr>
                <w:t>Read More</w:t>
              </w:r>
            </w:hyperlink>
          </w:p>
          <w:p w14:paraId="11B368A9" w14:textId="25AF1C8B" w:rsidR="00351337" w:rsidRDefault="00351337" w:rsidP="00351337">
            <w:pPr>
              <w:spacing w:before="60" w:after="60"/>
            </w:pPr>
            <w:r w:rsidRPr="00614B1F">
              <w:t xml:space="preserve">Federal agencies, including the NCUA and CFPB, released their </w:t>
            </w:r>
            <w:r>
              <w:t>F</w:t>
            </w:r>
            <w:r w:rsidRPr="00614B1F">
              <w:t xml:space="preserve">all 2023 regulatory agendas </w:t>
            </w:r>
            <w:r>
              <w:t>last</w:t>
            </w:r>
            <w:r w:rsidRPr="00614B1F">
              <w:t xml:space="preserve"> week. There are several credit union advocacy priorities included among the items, many of which have previously been introduced or included on previous rulemaking agendas.</w:t>
            </w:r>
          </w:p>
          <w:p w14:paraId="32F7C49B" w14:textId="0B39DF17" w:rsidR="00351337" w:rsidRDefault="00351337" w:rsidP="00351337">
            <w:pPr>
              <w:spacing w:before="60" w:after="60"/>
            </w:pPr>
            <w:hyperlink r:id="rId52" w:history="1">
              <w:r w:rsidRPr="00614B1F">
                <w:rPr>
                  <w:rStyle w:val="Hyperlink"/>
                </w:rPr>
                <w:t>Fall ’23 Unified Rulemaking Agenda</w:t>
              </w:r>
            </w:hyperlink>
          </w:p>
          <w:p w14:paraId="7961C9C2" w14:textId="08635816" w:rsidR="00351337" w:rsidRDefault="00351337" w:rsidP="00351337">
            <w:pPr>
              <w:pStyle w:val="ListParagraph"/>
              <w:numPr>
                <w:ilvl w:val="0"/>
                <w:numId w:val="8"/>
              </w:numPr>
              <w:spacing w:before="60" w:after="120"/>
            </w:pPr>
            <w:hyperlink r:id="rId53" w:history="1">
              <w:r w:rsidRPr="00614B1F">
                <w:rPr>
                  <w:rStyle w:val="Hyperlink"/>
                </w:rPr>
                <w:t>NCUA Agenda</w:t>
              </w:r>
            </w:hyperlink>
          </w:p>
          <w:p w14:paraId="3D01F8A6" w14:textId="5B4209D7" w:rsidR="00351337" w:rsidRDefault="00351337" w:rsidP="00351337">
            <w:pPr>
              <w:pStyle w:val="ListParagraph"/>
              <w:numPr>
                <w:ilvl w:val="0"/>
                <w:numId w:val="8"/>
              </w:numPr>
              <w:spacing w:before="60" w:after="120"/>
            </w:pPr>
            <w:hyperlink r:id="rId54" w:history="1">
              <w:r w:rsidRPr="00614B1F">
                <w:rPr>
                  <w:rStyle w:val="Hyperlink"/>
                </w:rPr>
                <w:t>CFPB Agenda</w:t>
              </w:r>
            </w:hyperlink>
          </w:p>
          <w:p w14:paraId="41D496F4" w14:textId="412439C0" w:rsidR="00351337" w:rsidRDefault="00351337" w:rsidP="00351337">
            <w:pPr>
              <w:pStyle w:val="ListParagraph"/>
              <w:numPr>
                <w:ilvl w:val="0"/>
                <w:numId w:val="8"/>
              </w:numPr>
              <w:spacing w:before="60" w:after="120"/>
            </w:pPr>
            <w:hyperlink r:id="rId55" w:history="1">
              <w:r w:rsidRPr="00614B1F">
                <w:rPr>
                  <w:rStyle w:val="Hyperlink"/>
                </w:rPr>
                <w:t>Treasury/FinCEN Agenda</w:t>
              </w:r>
            </w:hyperlink>
          </w:p>
          <w:p w14:paraId="128FC8F4" w14:textId="3D72248C" w:rsidR="00351337" w:rsidRDefault="00351337" w:rsidP="00351337">
            <w:pPr>
              <w:pStyle w:val="ListParagraph"/>
              <w:numPr>
                <w:ilvl w:val="0"/>
                <w:numId w:val="8"/>
              </w:numPr>
              <w:spacing w:before="60" w:after="120"/>
            </w:pPr>
            <w:hyperlink r:id="rId56" w:history="1">
              <w:r w:rsidRPr="00614B1F">
                <w:rPr>
                  <w:rStyle w:val="Hyperlink"/>
                </w:rPr>
                <w:t>Federal Reserve Agenda</w:t>
              </w:r>
            </w:hyperlink>
          </w:p>
          <w:p w14:paraId="7A4C411F" w14:textId="3748B64D" w:rsidR="00351337" w:rsidRPr="00961E99" w:rsidRDefault="00351337" w:rsidP="00351337">
            <w:pPr>
              <w:spacing w:before="60" w:after="120"/>
              <w:rPr>
                <w:u w:val="single"/>
              </w:rPr>
            </w:pPr>
            <w:r w:rsidRPr="00961E99">
              <w:rPr>
                <w:u w:val="single"/>
              </w:rPr>
              <w:t>Additional Links:</w:t>
            </w:r>
          </w:p>
          <w:p w14:paraId="6EF8BF38" w14:textId="792840C3" w:rsidR="00351337" w:rsidRDefault="00351337" w:rsidP="00351337">
            <w:pPr>
              <w:pStyle w:val="ListParagraph"/>
              <w:numPr>
                <w:ilvl w:val="0"/>
                <w:numId w:val="8"/>
              </w:numPr>
              <w:spacing w:before="60" w:after="120"/>
            </w:pPr>
            <w:hyperlink r:id="rId57" w:history="1">
              <w:r w:rsidRPr="00961E99">
                <w:rPr>
                  <w:rStyle w:val="Hyperlink"/>
                </w:rPr>
                <w:t>NAFCU breaks down financial regulator rulemaking agendas for CUs</w:t>
              </w:r>
            </w:hyperlink>
          </w:p>
          <w:p w14:paraId="273C46F2" w14:textId="0E99B3D4" w:rsidR="00351337" w:rsidRPr="005D4A3E" w:rsidRDefault="00351337" w:rsidP="00351337">
            <w:pPr>
              <w:pStyle w:val="ListParagraph"/>
              <w:numPr>
                <w:ilvl w:val="0"/>
                <w:numId w:val="8"/>
              </w:numPr>
              <w:spacing w:before="60" w:after="120"/>
            </w:pPr>
            <w:hyperlink r:id="rId58" w:history="1">
              <w:r w:rsidRPr="00961E99">
                <w:rPr>
                  <w:rStyle w:val="Hyperlink"/>
                </w:rPr>
                <w:t>CFPB Fall 2023 rulemaking agenda indicates imminent issuance of final credit card late fees rule and proposed rules on overdraft and NSF fees</w:t>
              </w:r>
            </w:hyperlink>
          </w:p>
          <w:p w14:paraId="0D2B1F4E" w14:textId="3E8C566D" w:rsidR="00351337" w:rsidRDefault="00351337" w:rsidP="00351337">
            <w:pPr>
              <w:spacing w:before="60" w:after="60"/>
              <w:jc w:val="right"/>
              <w:rPr>
                <w:b/>
                <w:bCs/>
              </w:rPr>
            </w:pPr>
            <w:r>
              <w:rPr>
                <w:sz w:val="16"/>
                <w:szCs w:val="16"/>
              </w:rPr>
              <w:t>12/8/23</w:t>
            </w:r>
          </w:p>
        </w:tc>
      </w:tr>
      <w:tr w:rsidR="00351337" w14:paraId="65FFDE9E" w14:textId="77777777" w:rsidTr="007A4232">
        <w:tc>
          <w:tcPr>
            <w:tcW w:w="9355" w:type="dxa"/>
            <w:gridSpan w:val="2"/>
            <w:shd w:val="clear" w:color="auto" w:fill="4472C4" w:themeFill="accent1"/>
            <w:vAlign w:val="center"/>
          </w:tcPr>
          <w:p w14:paraId="00C378D9" w14:textId="1F361391" w:rsidR="00351337" w:rsidRDefault="00351337" w:rsidP="00351337">
            <w:pPr>
              <w:spacing w:before="120" w:after="120"/>
              <w:jc w:val="center"/>
            </w:pPr>
            <w:r>
              <w:rPr>
                <w:b/>
                <w:bCs/>
                <w:color w:val="FFFFFF" w:themeColor="background1"/>
                <w:sz w:val="28"/>
                <w:szCs w:val="28"/>
              </w:rPr>
              <w:t>Relevant Blog Pages/Posts</w:t>
            </w:r>
          </w:p>
        </w:tc>
      </w:tr>
      <w:tr w:rsidR="00351337" w14:paraId="0BAEA817" w14:textId="77777777" w:rsidTr="008078CB">
        <w:tc>
          <w:tcPr>
            <w:tcW w:w="9355" w:type="dxa"/>
            <w:gridSpan w:val="2"/>
            <w:shd w:val="clear" w:color="auto" w:fill="auto"/>
          </w:tcPr>
          <w:p w14:paraId="27BC2A7A" w14:textId="5AD42C63" w:rsidR="00351337" w:rsidRDefault="00351337" w:rsidP="00351337">
            <w:pPr>
              <w:pStyle w:val="ListParagraph"/>
              <w:numPr>
                <w:ilvl w:val="0"/>
                <w:numId w:val="27"/>
              </w:numPr>
              <w:spacing w:before="60"/>
            </w:pPr>
            <w:hyperlink r:id="rId59" w:history="1">
              <w:r w:rsidRPr="00A817F9">
                <w:rPr>
                  <w:rStyle w:val="Hyperlink"/>
                </w:rPr>
                <w:t>NAFCU Compliance Blog</w:t>
              </w:r>
            </w:hyperlink>
          </w:p>
          <w:p w14:paraId="5BB0D3B4" w14:textId="0435A30F" w:rsidR="00351337" w:rsidRDefault="00351337" w:rsidP="00351337">
            <w:pPr>
              <w:pStyle w:val="ListParagraph"/>
              <w:numPr>
                <w:ilvl w:val="1"/>
                <w:numId w:val="27"/>
              </w:numPr>
              <w:spacing w:before="120"/>
            </w:pPr>
            <w:r>
              <w:t xml:space="preserve">12/13/23 – </w:t>
            </w:r>
            <w:hyperlink r:id="rId60" w:history="1">
              <w:r w:rsidRPr="0009338C">
                <w:rPr>
                  <w:rStyle w:val="Hyperlink"/>
                </w:rPr>
                <w:t>CFPB</w:t>
              </w:r>
              <w:r w:rsidRPr="0009338C">
                <w:rPr>
                  <w:rStyle w:val="Hyperlink"/>
                </w:rPr>
                <w:t xml:space="preserve"> </w:t>
              </w:r>
              <w:r w:rsidRPr="0009338C">
                <w:rPr>
                  <w:rStyle w:val="Hyperlink"/>
                </w:rPr>
                <w:t>Orders Bank of America to Pay $12 million</w:t>
              </w:r>
            </w:hyperlink>
          </w:p>
          <w:p w14:paraId="7784258C" w14:textId="4C9B6DA0" w:rsidR="00351337" w:rsidRDefault="00351337" w:rsidP="00351337">
            <w:pPr>
              <w:pStyle w:val="ListParagraph"/>
              <w:numPr>
                <w:ilvl w:val="1"/>
                <w:numId w:val="27"/>
              </w:numPr>
              <w:spacing w:before="120"/>
            </w:pPr>
            <w:r>
              <w:t xml:space="preserve">12/20/23 – </w:t>
            </w:r>
            <w:hyperlink r:id="rId61" w:history="1">
              <w:r w:rsidRPr="0009338C">
                <w:rPr>
                  <w:rStyle w:val="Hyperlink"/>
                </w:rPr>
                <w:t>Additional</w:t>
              </w:r>
              <w:r w:rsidRPr="0009338C">
                <w:rPr>
                  <w:rStyle w:val="Hyperlink"/>
                </w:rPr>
                <w:t xml:space="preserve"> </w:t>
              </w:r>
              <w:r w:rsidRPr="0009338C">
                <w:rPr>
                  <w:rStyle w:val="Hyperlink"/>
                </w:rPr>
                <w:t>Fair Lending requirements for CDFIs; Car Sales Rule</w:t>
              </w:r>
            </w:hyperlink>
          </w:p>
          <w:p w14:paraId="12B42CD3" w14:textId="30FE9A8E" w:rsidR="00351337" w:rsidRDefault="00351337" w:rsidP="00351337">
            <w:pPr>
              <w:pStyle w:val="ListParagraph"/>
              <w:numPr>
                <w:ilvl w:val="1"/>
                <w:numId w:val="27"/>
              </w:numPr>
              <w:spacing w:before="120"/>
            </w:pPr>
            <w:r>
              <w:t xml:space="preserve">12/27/23 – </w:t>
            </w:r>
            <w:hyperlink r:id="rId62" w:history="1">
              <w:r w:rsidRPr="0009338C">
                <w:rPr>
                  <w:rStyle w:val="Hyperlink"/>
                </w:rPr>
                <w:t>Oral</w:t>
              </w:r>
              <w:r w:rsidRPr="0009338C">
                <w:rPr>
                  <w:rStyle w:val="Hyperlink"/>
                </w:rPr>
                <w:t xml:space="preserve"> </w:t>
              </w:r>
              <w:r w:rsidRPr="0009338C">
                <w:rPr>
                  <w:rStyle w:val="Hyperlink"/>
                </w:rPr>
                <w:t>Consent for Regulation E Overdraft Opt-In</w:t>
              </w:r>
            </w:hyperlink>
          </w:p>
          <w:p w14:paraId="719227D3" w14:textId="77777777" w:rsidR="00351337" w:rsidRDefault="00351337" w:rsidP="00351337">
            <w:pPr>
              <w:pStyle w:val="ListParagraph"/>
              <w:spacing w:before="120" w:after="120"/>
              <w:ind w:left="600"/>
            </w:pPr>
          </w:p>
          <w:p w14:paraId="4E884DBB" w14:textId="77777777" w:rsidR="00351337" w:rsidRDefault="00351337" w:rsidP="00351337">
            <w:pPr>
              <w:pStyle w:val="ListParagraph"/>
              <w:numPr>
                <w:ilvl w:val="0"/>
                <w:numId w:val="27"/>
              </w:numPr>
              <w:spacing w:before="120" w:after="120"/>
            </w:pPr>
            <w:hyperlink r:id="rId63" w:history="1">
              <w:r w:rsidRPr="00A817F9">
                <w:rPr>
                  <w:rStyle w:val="Hyperlink"/>
                </w:rPr>
                <w:t>CUNA CompBlog</w:t>
              </w:r>
            </w:hyperlink>
            <w:r>
              <w:t xml:space="preserve"> (Compliance Community Login Required)</w:t>
            </w:r>
          </w:p>
          <w:p w14:paraId="78499B6E" w14:textId="2CFA2EC7" w:rsidR="00351337" w:rsidRDefault="00351337" w:rsidP="00351337">
            <w:pPr>
              <w:pStyle w:val="ListParagraph"/>
              <w:numPr>
                <w:ilvl w:val="1"/>
                <w:numId w:val="27"/>
              </w:numPr>
              <w:spacing w:before="120" w:after="120"/>
            </w:pPr>
            <w:r>
              <w:t xml:space="preserve"> 12/12/23 – FinCEN </w:t>
            </w:r>
            <w:r w:rsidRPr="00C1058D">
              <w:t>Issues 19 New B</w:t>
            </w:r>
            <w:r>
              <w:t>OI</w:t>
            </w:r>
            <w:r w:rsidRPr="00C1058D">
              <w:t xml:space="preserve"> Reporting F</w:t>
            </w:r>
            <w:r>
              <w:t>AQ</w:t>
            </w:r>
            <w:r w:rsidRPr="00C1058D">
              <w:t>s</w:t>
            </w:r>
          </w:p>
          <w:p w14:paraId="117AE513" w14:textId="0025C613" w:rsidR="00351337" w:rsidRDefault="00351337" w:rsidP="00351337">
            <w:pPr>
              <w:pStyle w:val="ListParagraph"/>
              <w:numPr>
                <w:ilvl w:val="1"/>
                <w:numId w:val="27"/>
              </w:numPr>
              <w:spacing w:before="120" w:after="120"/>
            </w:pPr>
            <w:r>
              <w:t>12/14/23 – NCUA Board Meeting (The Last of 2023!)</w:t>
            </w:r>
          </w:p>
          <w:p w14:paraId="4401C300" w14:textId="356318EC" w:rsidR="00351337" w:rsidRDefault="00351337" w:rsidP="00351337">
            <w:pPr>
              <w:pStyle w:val="ListParagraph"/>
              <w:numPr>
                <w:ilvl w:val="1"/>
                <w:numId w:val="27"/>
              </w:numPr>
              <w:spacing w:before="120" w:after="120"/>
            </w:pPr>
            <w:r>
              <w:t xml:space="preserve">12/18/23 – </w:t>
            </w:r>
            <w:r w:rsidRPr="00D67D96">
              <w:t>FCC C</w:t>
            </w:r>
            <w:r>
              <w:t>loses</w:t>
            </w:r>
            <w:r w:rsidRPr="00D67D96">
              <w:t xml:space="preserve"> TCPA "L</w:t>
            </w:r>
            <w:r>
              <w:t>ead</w:t>
            </w:r>
            <w:r w:rsidRPr="00D67D96">
              <w:t xml:space="preserve"> G</w:t>
            </w:r>
            <w:r>
              <w:t>enerator</w:t>
            </w:r>
            <w:r w:rsidRPr="00D67D96">
              <w:t xml:space="preserve"> L</w:t>
            </w:r>
            <w:r>
              <w:t>oophole</w:t>
            </w:r>
            <w:r w:rsidRPr="00D67D96">
              <w:t>"</w:t>
            </w:r>
          </w:p>
          <w:p w14:paraId="47687E11" w14:textId="4531CA79" w:rsidR="00351337" w:rsidRDefault="00351337" w:rsidP="00351337">
            <w:pPr>
              <w:pStyle w:val="ListParagraph"/>
              <w:numPr>
                <w:ilvl w:val="1"/>
                <w:numId w:val="27"/>
              </w:numPr>
              <w:spacing w:before="120" w:after="120"/>
            </w:pPr>
            <w:r>
              <w:t>12/21/23 – FinCEN’s</w:t>
            </w:r>
            <w:r w:rsidRPr="009A76CB">
              <w:t xml:space="preserve"> </w:t>
            </w:r>
            <w:r w:rsidRPr="009A76CB">
              <w:t>Final B</w:t>
            </w:r>
            <w:r>
              <w:t>OI</w:t>
            </w:r>
            <w:r w:rsidRPr="009A76CB">
              <w:t xml:space="preserve"> Access Rule Will Be Implemented In Stages</w:t>
            </w:r>
          </w:p>
          <w:p w14:paraId="4D702F3F" w14:textId="47BDB18F" w:rsidR="00351337" w:rsidRDefault="00351337" w:rsidP="00351337">
            <w:pPr>
              <w:pStyle w:val="ListParagraph"/>
              <w:numPr>
                <w:ilvl w:val="1"/>
                <w:numId w:val="27"/>
              </w:numPr>
              <w:spacing w:before="120" w:after="120"/>
            </w:pPr>
            <w:r>
              <w:t>12/29/23 – Our</w:t>
            </w:r>
            <w:r w:rsidRPr="002F0348">
              <w:t xml:space="preserve"> 2023 Y</w:t>
            </w:r>
            <w:r>
              <w:t>ear</w:t>
            </w:r>
            <w:r w:rsidRPr="002F0348">
              <w:t xml:space="preserve"> I</w:t>
            </w:r>
            <w:r>
              <w:t>n</w:t>
            </w:r>
            <w:r w:rsidRPr="002F0348">
              <w:t xml:space="preserve"> R</w:t>
            </w:r>
            <w:r>
              <w:t>eview</w:t>
            </w:r>
          </w:p>
          <w:p w14:paraId="6041FF34" w14:textId="77777777" w:rsidR="00351337" w:rsidRDefault="00351337" w:rsidP="00351337">
            <w:pPr>
              <w:pStyle w:val="ListParagraph"/>
              <w:spacing w:before="120" w:after="120"/>
              <w:ind w:left="600"/>
            </w:pPr>
          </w:p>
          <w:p w14:paraId="1344FDE1" w14:textId="00F1BE84" w:rsidR="00351337" w:rsidRDefault="00351337" w:rsidP="00351337">
            <w:pPr>
              <w:pStyle w:val="ListParagraph"/>
              <w:numPr>
                <w:ilvl w:val="0"/>
                <w:numId w:val="27"/>
              </w:numPr>
              <w:spacing w:before="120" w:after="120"/>
            </w:pPr>
            <w:hyperlink r:id="rId64" w:history="1">
              <w:r w:rsidRPr="00315602">
                <w:rPr>
                  <w:rStyle w:val="Hyperlink"/>
                </w:rPr>
                <w:t>America’s Credit Unions Compliance Blog</w:t>
              </w:r>
            </w:hyperlink>
          </w:p>
          <w:p w14:paraId="04F37A7C" w14:textId="052BC464" w:rsidR="00351337" w:rsidRDefault="00351337" w:rsidP="00351337">
            <w:pPr>
              <w:pStyle w:val="ListParagraph"/>
              <w:numPr>
                <w:ilvl w:val="1"/>
                <w:numId w:val="27"/>
              </w:numPr>
              <w:spacing w:before="120" w:after="120"/>
            </w:pPr>
            <w:r>
              <w:t xml:space="preserve">1/9/24 – </w:t>
            </w:r>
            <w:hyperlink r:id="rId65" w:history="1">
              <w:r w:rsidRPr="00315602">
                <w:rPr>
                  <w:rStyle w:val="Hyperlink"/>
                </w:rPr>
                <w:t>Welcome to Compliance at America’s Credit Unions!</w:t>
              </w:r>
            </w:hyperlink>
          </w:p>
        </w:tc>
      </w:tr>
      <w:tr w:rsidR="00351337" w14:paraId="2C53A7D0" w14:textId="77777777" w:rsidTr="00853F4F">
        <w:tc>
          <w:tcPr>
            <w:tcW w:w="9355" w:type="dxa"/>
            <w:gridSpan w:val="2"/>
            <w:shd w:val="clear" w:color="auto" w:fill="4472C4" w:themeFill="accent1"/>
          </w:tcPr>
          <w:p w14:paraId="7813D808" w14:textId="2AA63E8B" w:rsidR="00351337" w:rsidRPr="00766443" w:rsidRDefault="00351337" w:rsidP="00351337">
            <w:pPr>
              <w:spacing w:before="120" w:after="120"/>
              <w:jc w:val="center"/>
              <w:rPr>
                <w:b/>
                <w:bCs/>
                <w:color w:val="FFFFFF" w:themeColor="background1"/>
                <w:sz w:val="28"/>
                <w:szCs w:val="28"/>
              </w:rPr>
            </w:pPr>
            <w:r w:rsidRPr="00766443">
              <w:rPr>
                <w:b/>
                <w:bCs/>
                <w:color w:val="FFFFFF" w:themeColor="background1"/>
                <w:sz w:val="28"/>
                <w:szCs w:val="28"/>
              </w:rPr>
              <w:t>Submitted Regulatory Comment Letters</w:t>
            </w:r>
          </w:p>
        </w:tc>
      </w:tr>
      <w:tr w:rsidR="00351337" w14:paraId="3075F898" w14:textId="77777777" w:rsidTr="00853F4F">
        <w:tc>
          <w:tcPr>
            <w:tcW w:w="9355" w:type="dxa"/>
            <w:gridSpan w:val="2"/>
          </w:tcPr>
          <w:p w14:paraId="243F1565" w14:textId="4C6936D9" w:rsidR="00351337" w:rsidRPr="009D4523" w:rsidRDefault="00351337" w:rsidP="00351337">
            <w:pPr>
              <w:spacing w:before="60" w:after="120"/>
              <w:rPr>
                <w:b/>
                <w:bCs/>
              </w:rPr>
            </w:pPr>
            <w:r w:rsidRPr="009D4523">
              <w:rPr>
                <w:b/>
                <w:bCs/>
              </w:rPr>
              <w:t>Regulatory Response Letters</w:t>
            </w:r>
          </w:p>
          <w:p w14:paraId="11D8FF12" w14:textId="4D2466DB" w:rsidR="00351337" w:rsidRDefault="00351337" w:rsidP="00351337">
            <w:pPr>
              <w:pStyle w:val="ListParagraph"/>
              <w:numPr>
                <w:ilvl w:val="0"/>
                <w:numId w:val="7"/>
              </w:numPr>
            </w:pPr>
            <w:hyperlink r:id="rId66" w:history="1">
              <w:r w:rsidRPr="00140752">
                <w:rPr>
                  <w:rStyle w:val="Hyperlink"/>
                </w:rPr>
                <w:t>NCUA Proposed Rule</w:t>
              </w:r>
            </w:hyperlink>
            <w:r>
              <w:t>: Simplification of Share Insurance Rules</w:t>
            </w:r>
          </w:p>
          <w:p w14:paraId="75831C1F" w14:textId="4D0FE18C" w:rsidR="00351337" w:rsidRDefault="00351337" w:rsidP="00351337">
            <w:pPr>
              <w:pStyle w:val="ListParagraph"/>
              <w:numPr>
                <w:ilvl w:val="1"/>
                <w:numId w:val="7"/>
              </w:numPr>
            </w:pPr>
            <w:hyperlink r:id="rId67" w:history="1">
              <w:r w:rsidRPr="00140752">
                <w:rPr>
                  <w:rStyle w:val="Hyperlink"/>
                </w:rPr>
                <w:t>NAFCU Letter</w:t>
              </w:r>
            </w:hyperlink>
          </w:p>
          <w:p w14:paraId="2205A8A1" w14:textId="25CA76A8" w:rsidR="00351337" w:rsidRDefault="00351337" w:rsidP="00351337">
            <w:pPr>
              <w:pStyle w:val="ListParagraph"/>
              <w:numPr>
                <w:ilvl w:val="1"/>
                <w:numId w:val="7"/>
              </w:numPr>
            </w:pPr>
            <w:hyperlink r:id="rId68" w:history="1">
              <w:r w:rsidRPr="00140752">
                <w:rPr>
                  <w:rStyle w:val="Hyperlink"/>
                </w:rPr>
                <w:t>CUNA Letter</w:t>
              </w:r>
            </w:hyperlink>
          </w:p>
          <w:p w14:paraId="4B4A9871" w14:textId="350F2310" w:rsidR="00351337" w:rsidRDefault="00351337" w:rsidP="00351337">
            <w:pPr>
              <w:pStyle w:val="ListParagraph"/>
              <w:numPr>
                <w:ilvl w:val="0"/>
                <w:numId w:val="7"/>
              </w:numPr>
            </w:pPr>
            <w:hyperlink r:id="rId69" w:history="1">
              <w:r w:rsidRPr="00140752">
                <w:rPr>
                  <w:rStyle w:val="Hyperlink"/>
                </w:rPr>
                <w:t>CFPB Proposed Rule</w:t>
              </w:r>
            </w:hyperlink>
            <w:r>
              <w:t xml:space="preserve">: </w:t>
            </w:r>
            <w:r w:rsidRPr="00140752">
              <w:t>Required Rulemaking on Personal Financial Data Rights</w:t>
            </w:r>
          </w:p>
          <w:p w14:paraId="3EDDD319" w14:textId="6A1906FC" w:rsidR="00351337" w:rsidRDefault="00351337" w:rsidP="00351337">
            <w:pPr>
              <w:pStyle w:val="ListParagraph"/>
              <w:numPr>
                <w:ilvl w:val="1"/>
                <w:numId w:val="7"/>
              </w:numPr>
            </w:pPr>
            <w:hyperlink r:id="rId70" w:history="1">
              <w:r w:rsidRPr="00140752">
                <w:rPr>
                  <w:rStyle w:val="Hyperlink"/>
                </w:rPr>
                <w:t>CUNA/NAFCU Joint Letter</w:t>
              </w:r>
            </w:hyperlink>
          </w:p>
          <w:p w14:paraId="1A58175D" w14:textId="00195C58" w:rsidR="00351337" w:rsidRDefault="00351337" w:rsidP="00351337">
            <w:pPr>
              <w:pStyle w:val="ListParagraph"/>
              <w:numPr>
                <w:ilvl w:val="0"/>
                <w:numId w:val="7"/>
              </w:numPr>
            </w:pPr>
            <w:hyperlink r:id="rId71" w:history="1">
              <w:r w:rsidRPr="00140752">
                <w:rPr>
                  <w:rStyle w:val="Hyperlink"/>
                </w:rPr>
                <w:t>NCUA Proposed Rule</w:t>
              </w:r>
            </w:hyperlink>
            <w:r w:rsidRPr="00140752">
              <w:t>: Fair Hiring in Banking</w:t>
            </w:r>
          </w:p>
          <w:p w14:paraId="76F4A3D7" w14:textId="3B2CA9B2" w:rsidR="00351337" w:rsidRDefault="00351337" w:rsidP="00351337">
            <w:pPr>
              <w:pStyle w:val="ListParagraph"/>
              <w:numPr>
                <w:ilvl w:val="1"/>
                <w:numId w:val="7"/>
              </w:numPr>
            </w:pPr>
            <w:hyperlink r:id="rId72" w:history="1">
              <w:r w:rsidRPr="00140752">
                <w:rPr>
                  <w:rStyle w:val="Hyperlink"/>
                </w:rPr>
                <w:t>America’s Credit Unions Letter</w:t>
              </w:r>
            </w:hyperlink>
          </w:p>
          <w:p w14:paraId="35CD6C5D" w14:textId="16937EDE" w:rsidR="00351337" w:rsidRDefault="00351337" w:rsidP="00351337">
            <w:pPr>
              <w:pStyle w:val="ListParagraph"/>
              <w:numPr>
                <w:ilvl w:val="0"/>
                <w:numId w:val="7"/>
              </w:numPr>
            </w:pPr>
            <w:hyperlink r:id="rId73" w:history="1">
              <w:r w:rsidRPr="00140752">
                <w:rPr>
                  <w:rStyle w:val="Hyperlink"/>
                </w:rPr>
                <w:t>FTC Proposed Rule</w:t>
              </w:r>
            </w:hyperlink>
            <w:r w:rsidRPr="00140752">
              <w:t>: Trade Regulation Rule on Unfair or Deceptive Fees</w:t>
            </w:r>
          </w:p>
          <w:p w14:paraId="2EF10117" w14:textId="2D7BEEFF" w:rsidR="00351337" w:rsidRDefault="00351337" w:rsidP="00351337">
            <w:pPr>
              <w:pStyle w:val="ListParagraph"/>
              <w:numPr>
                <w:ilvl w:val="1"/>
                <w:numId w:val="7"/>
              </w:numPr>
            </w:pPr>
            <w:hyperlink r:id="rId74" w:history="1">
              <w:r w:rsidRPr="00140752">
                <w:rPr>
                  <w:rStyle w:val="Hyperlink"/>
                </w:rPr>
                <w:t>America’s Credit Unions Letter</w:t>
              </w:r>
            </w:hyperlink>
          </w:p>
          <w:p w14:paraId="6E288D38" w14:textId="32D6BDF2" w:rsidR="00351337" w:rsidRDefault="00351337" w:rsidP="00351337">
            <w:pPr>
              <w:pStyle w:val="ListParagraph"/>
              <w:numPr>
                <w:ilvl w:val="0"/>
                <w:numId w:val="7"/>
              </w:numPr>
            </w:pPr>
            <w:hyperlink r:id="rId75" w:history="1">
              <w:r w:rsidRPr="00140752">
                <w:rPr>
                  <w:rStyle w:val="Hyperlink"/>
                </w:rPr>
                <w:t>CFPB Proposed Rule</w:t>
              </w:r>
            </w:hyperlink>
            <w:r w:rsidRPr="00140752">
              <w:t>: Defining Larger Participants of a Market for General-Use Digital Consumer Payment Applications</w:t>
            </w:r>
          </w:p>
          <w:p w14:paraId="5B5D31B1" w14:textId="16EC5C1A" w:rsidR="00351337" w:rsidRDefault="00351337" w:rsidP="00351337">
            <w:pPr>
              <w:pStyle w:val="ListParagraph"/>
              <w:numPr>
                <w:ilvl w:val="1"/>
                <w:numId w:val="7"/>
              </w:numPr>
            </w:pPr>
            <w:hyperlink r:id="rId76" w:history="1">
              <w:r w:rsidRPr="00140752">
                <w:rPr>
                  <w:rStyle w:val="Hyperlink"/>
                </w:rPr>
                <w:t>America’s Credit Unions Letter</w:t>
              </w:r>
            </w:hyperlink>
          </w:p>
          <w:p w14:paraId="18B0E076" w14:textId="1AFB2AFE" w:rsidR="00351337" w:rsidRPr="009D4523" w:rsidRDefault="00351337" w:rsidP="00351337">
            <w:pPr>
              <w:spacing w:before="240" w:after="120"/>
              <w:rPr>
                <w:b/>
                <w:bCs/>
              </w:rPr>
            </w:pPr>
            <w:r>
              <w:rPr>
                <w:b/>
                <w:bCs/>
              </w:rPr>
              <w:t xml:space="preserve">Other </w:t>
            </w:r>
            <w:r w:rsidRPr="009D4523">
              <w:rPr>
                <w:b/>
                <w:bCs/>
              </w:rPr>
              <w:t>Letters to Regulators</w:t>
            </w:r>
          </w:p>
          <w:p w14:paraId="1BB4FE45" w14:textId="040346F5" w:rsidR="00351337" w:rsidRDefault="00351337" w:rsidP="00351337">
            <w:pPr>
              <w:pStyle w:val="ListParagraph"/>
              <w:numPr>
                <w:ilvl w:val="0"/>
                <w:numId w:val="3"/>
              </w:numPr>
              <w:spacing w:before="120" w:after="120"/>
              <w:ind w:left="615"/>
            </w:pPr>
            <w:hyperlink r:id="rId77" w:history="1">
              <w:r w:rsidRPr="00315602">
                <w:rPr>
                  <w:rStyle w:val="Hyperlink"/>
                </w:rPr>
                <w:t>Joint Trades Letter</w:t>
              </w:r>
            </w:hyperlink>
            <w:r>
              <w:t xml:space="preserve"> to FHFA on Credit Score Testing Data Transparency</w:t>
            </w:r>
          </w:p>
          <w:p w14:paraId="3A41DC28" w14:textId="75E01F6D" w:rsidR="00351337" w:rsidRPr="00853F4F" w:rsidRDefault="00351337" w:rsidP="00351337">
            <w:pPr>
              <w:spacing w:before="240" w:after="120"/>
              <w:rPr>
                <w:b/>
                <w:bCs/>
              </w:rPr>
            </w:pPr>
            <w:r w:rsidRPr="00853F4F">
              <w:rPr>
                <w:b/>
                <w:bCs/>
              </w:rPr>
              <w:t xml:space="preserve">Browse All </w:t>
            </w:r>
            <w:r>
              <w:rPr>
                <w:b/>
                <w:bCs/>
              </w:rPr>
              <w:t xml:space="preserve">Industry Comment </w:t>
            </w:r>
            <w:r w:rsidRPr="00853F4F">
              <w:rPr>
                <w:b/>
                <w:bCs/>
              </w:rPr>
              <w:t>Letters</w:t>
            </w:r>
          </w:p>
          <w:p w14:paraId="71AD7FC5" w14:textId="0CB0F0D1" w:rsidR="00351337" w:rsidRDefault="00351337" w:rsidP="00351337">
            <w:pPr>
              <w:pStyle w:val="ListParagraph"/>
              <w:numPr>
                <w:ilvl w:val="0"/>
                <w:numId w:val="3"/>
              </w:numPr>
              <w:spacing w:before="120" w:after="120"/>
              <w:ind w:left="525" w:hanging="270"/>
            </w:pPr>
            <w:hyperlink r:id="rId78" w:history="1">
              <w:r w:rsidRPr="00F61A34">
                <w:rPr>
                  <w:rStyle w:val="Hyperlink"/>
                </w:rPr>
                <w:t>MCUL</w:t>
              </w:r>
            </w:hyperlink>
          </w:p>
          <w:p w14:paraId="702C7D52" w14:textId="1AD82943" w:rsidR="00351337" w:rsidRDefault="00351337" w:rsidP="00351337">
            <w:pPr>
              <w:pStyle w:val="ListParagraph"/>
              <w:numPr>
                <w:ilvl w:val="0"/>
                <w:numId w:val="3"/>
              </w:numPr>
              <w:spacing w:before="120" w:after="120"/>
              <w:ind w:left="525" w:hanging="270"/>
            </w:pPr>
            <w:hyperlink r:id="rId79" w:history="1">
              <w:r w:rsidRPr="00F61A34">
                <w:rPr>
                  <w:rStyle w:val="Hyperlink"/>
                </w:rPr>
                <w:t>CUNA</w:t>
              </w:r>
            </w:hyperlink>
          </w:p>
          <w:p w14:paraId="71198726" w14:textId="77777777" w:rsidR="00351337" w:rsidRPr="00D57020" w:rsidRDefault="00351337" w:rsidP="00351337">
            <w:pPr>
              <w:pStyle w:val="ListParagraph"/>
              <w:numPr>
                <w:ilvl w:val="0"/>
                <w:numId w:val="3"/>
              </w:numPr>
              <w:spacing w:before="120" w:after="120"/>
              <w:ind w:left="525" w:hanging="270"/>
              <w:rPr>
                <w:rStyle w:val="Hyperlink"/>
                <w:color w:val="auto"/>
                <w:u w:val="none"/>
              </w:rPr>
            </w:pPr>
            <w:hyperlink r:id="rId80" w:history="1">
              <w:r w:rsidRPr="00F61A34">
                <w:rPr>
                  <w:rStyle w:val="Hyperlink"/>
                </w:rPr>
                <w:t>NAFCU</w:t>
              </w:r>
            </w:hyperlink>
          </w:p>
          <w:p w14:paraId="295156A6" w14:textId="7BE702CE" w:rsidR="00351337" w:rsidRDefault="00351337" w:rsidP="00351337">
            <w:pPr>
              <w:pStyle w:val="ListParagraph"/>
              <w:numPr>
                <w:ilvl w:val="0"/>
                <w:numId w:val="3"/>
              </w:numPr>
              <w:spacing w:before="120" w:after="120"/>
              <w:ind w:left="525" w:hanging="270"/>
            </w:pPr>
            <w:hyperlink r:id="rId81" w:history="1">
              <w:r w:rsidRPr="00D57020">
                <w:rPr>
                  <w:rStyle w:val="Hyperlink"/>
                </w:rPr>
                <w:t>NASCUS</w:t>
              </w:r>
            </w:hyperlink>
          </w:p>
        </w:tc>
      </w:tr>
      <w:tr w:rsidR="00351337" w14:paraId="3EB5DDF2" w14:textId="77777777" w:rsidTr="00853F4F">
        <w:tc>
          <w:tcPr>
            <w:tcW w:w="9355" w:type="dxa"/>
            <w:gridSpan w:val="2"/>
            <w:shd w:val="clear" w:color="auto" w:fill="4472C4" w:themeFill="accent1"/>
          </w:tcPr>
          <w:p w14:paraId="551FC42D" w14:textId="1BD8E1EB" w:rsidR="00351337" w:rsidRPr="004334C7" w:rsidRDefault="00351337" w:rsidP="00351337">
            <w:pPr>
              <w:spacing w:before="120" w:after="120"/>
              <w:jc w:val="center"/>
              <w:rPr>
                <w:b/>
                <w:bCs/>
                <w:color w:val="FFFFFF" w:themeColor="background1"/>
                <w:sz w:val="28"/>
                <w:szCs w:val="28"/>
              </w:rPr>
            </w:pPr>
            <w:r>
              <w:rPr>
                <w:b/>
                <w:bCs/>
                <w:color w:val="FFFFFF" w:themeColor="background1"/>
                <w:sz w:val="28"/>
                <w:szCs w:val="28"/>
              </w:rPr>
              <w:t>Open Comment Calls</w:t>
            </w:r>
          </w:p>
        </w:tc>
      </w:tr>
      <w:tr w:rsidR="00351337" w14:paraId="763C1FF4" w14:textId="77777777" w:rsidTr="00853F4F">
        <w:tc>
          <w:tcPr>
            <w:tcW w:w="9355" w:type="dxa"/>
            <w:gridSpan w:val="2"/>
            <w:shd w:val="clear" w:color="auto" w:fill="ED7D31" w:themeFill="accent2"/>
          </w:tcPr>
          <w:p w14:paraId="443311BC" w14:textId="52E37800" w:rsidR="00351337" w:rsidRPr="00CD5CC3" w:rsidRDefault="00351337" w:rsidP="00351337">
            <w:pPr>
              <w:pStyle w:val="ListParagraph"/>
              <w:spacing w:before="60" w:after="60"/>
              <w:ind w:left="0"/>
            </w:pPr>
            <w:r w:rsidRPr="004334C7">
              <w:rPr>
                <w:color w:val="FFFFFF" w:themeColor="background1"/>
              </w:rPr>
              <w:t xml:space="preserve">If you have input on any comment calls below that you would like to provide for consideration, please direct them to </w:t>
            </w:r>
            <w:hyperlink r:id="rId82" w:history="1">
              <w:r w:rsidRPr="00640458">
                <w:rPr>
                  <w:rStyle w:val="Hyperlink"/>
                  <w:b/>
                  <w:bCs/>
                  <w:color w:val="FFFFFF" w:themeColor="background1"/>
                </w:rPr>
                <w:t>Bradley.Willett@mcul.org</w:t>
              </w:r>
            </w:hyperlink>
            <w:r w:rsidRPr="00CD5CC3">
              <w:rPr>
                <w:rStyle w:val="Hyperlink"/>
                <w:b/>
                <w:bCs/>
                <w:color w:val="FFFFFF" w:themeColor="background1"/>
                <w:u w:val="none"/>
              </w:rPr>
              <w:t xml:space="preserve"> </w:t>
            </w:r>
            <w:r w:rsidRPr="00CD5CC3">
              <w:rPr>
                <w:rStyle w:val="Hyperlink"/>
                <w:color w:val="FFFFFF" w:themeColor="background1"/>
                <w:u w:val="none"/>
              </w:rPr>
              <w:t xml:space="preserve">no </w:t>
            </w:r>
            <w:r>
              <w:rPr>
                <w:rStyle w:val="Hyperlink"/>
                <w:color w:val="FFFFFF" w:themeColor="background1"/>
                <w:u w:val="none"/>
              </w:rPr>
              <w:t>later than 3 weeks prior to the comment due date.</w:t>
            </w:r>
          </w:p>
        </w:tc>
      </w:tr>
      <w:tr w:rsidR="00351337" w14:paraId="3E03B947" w14:textId="77777777" w:rsidTr="00853F4F">
        <w:tc>
          <w:tcPr>
            <w:tcW w:w="7015" w:type="dxa"/>
          </w:tcPr>
          <w:p w14:paraId="2F844A96" w14:textId="77777777" w:rsidR="00351337" w:rsidRDefault="00351337" w:rsidP="00351337">
            <w:pPr>
              <w:spacing w:before="60" w:after="120"/>
            </w:pPr>
            <w:r>
              <w:rPr>
                <w:b/>
                <w:bCs/>
              </w:rPr>
              <w:t>FinCEN Notice of Proposed Rulemaking:</w:t>
            </w:r>
            <w:r>
              <w:t xml:space="preserve"> Convertible Virtual Currency Recordkeeping and Reporting Requirements</w:t>
            </w:r>
          </w:p>
          <w:p w14:paraId="018DF21B" w14:textId="7FA1A689" w:rsidR="00351337" w:rsidRDefault="00351337" w:rsidP="00351337">
            <w:pPr>
              <w:tabs>
                <w:tab w:val="left" w:pos="1905"/>
              </w:tabs>
              <w:spacing w:before="60" w:after="240"/>
              <w:ind w:left="345"/>
            </w:pPr>
            <w:r w:rsidRPr="003B18F8">
              <w:rPr>
                <w:b/>
                <w:bCs/>
              </w:rPr>
              <w:t>Docket No.</w:t>
            </w:r>
            <w:r>
              <w:t xml:space="preserve"> FINCEN-2023-0016</w:t>
            </w:r>
          </w:p>
          <w:p w14:paraId="244D47DA" w14:textId="3491E0CA" w:rsidR="00351337" w:rsidRPr="00944D92" w:rsidRDefault="00351337" w:rsidP="00351337">
            <w:pPr>
              <w:spacing w:before="60" w:after="240"/>
            </w:pPr>
            <w:r w:rsidRPr="00964F4C">
              <w:t>This NPRM (1) sets forth FinCEN's finding that transactions involving CVC mixing within or involving jurisdictions outside the United States are a class of transactions that are of primary money laundering concern; and (2) proposes</w:t>
            </w:r>
            <w:r>
              <w:t xml:space="preserve"> </w:t>
            </w:r>
            <w:r w:rsidRPr="00964F4C">
              <w:t>requiring covered financial institutions to implement certain recordkeeping and reporting requirements on transactions that covered financial institutions know, suspect, or have reason to suspect involve CVC mixing within or involving jurisdictions outside the United States.</w:t>
            </w:r>
            <w:r>
              <w:t xml:space="preserve"> </w:t>
            </w:r>
          </w:p>
        </w:tc>
        <w:tc>
          <w:tcPr>
            <w:tcW w:w="2340" w:type="dxa"/>
          </w:tcPr>
          <w:p w14:paraId="7A37F035" w14:textId="77777777" w:rsidR="00351337" w:rsidRPr="000F7F0E" w:rsidRDefault="00351337" w:rsidP="00351337">
            <w:pPr>
              <w:spacing w:before="60"/>
              <w:jc w:val="center"/>
              <w:rPr>
                <w:b/>
                <w:bCs/>
              </w:rPr>
            </w:pPr>
            <w:r w:rsidRPr="000F7F0E">
              <w:rPr>
                <w:b/>
                <w:bCs/>
              </w:rPr>
              <w:t>Comments Due:</w:t>
            </w:r>
          </w:p>
          <w:p w14:paraId="4F070788" w14:textId="77864889" w:rsidR="00351337" w:rsidRDefault="00351337" w:rsidP="00351337">
            <w:pPr>
              <w:spacing w:after="240"/>
              <w:jc w:val="center"/>
            </w:pPr>
            <w:r>
              <w:t>January 22</w:t>
            </w:r>
            <w:r w:rsidRPr="000F7F0E">
              <w:t>, 202</w:t>
            </w:r>
            <w:r>
              <w:t>4</w:t>
            </w:r>
          </w:p>
          <w:p w14:paraId="5BB8C3FF" w14:textId="1011AEDB" w:rsidR="00351337" w:rsidRDefault="00351337" w:rsidP="00351337">
            <w:pPr>
              <w:spacing w:before="60" w:after="120"/>
              <w:jc w:val="center"/>
            </w:pPr>
            <w:hyperlink r:id="rId83" w:history="1">
              <w:r w:rsidRPr="00BE24E6">
                <w:rPr>
                  <w:rStyle w:val="Hyperlink"/>
                </w:rPr>
                <w:t>Agency Announcement</w:t>
              </w:r>
            </w:hyperlink>
          </w:p>
          <w:p w14:paraId="5A43F470" w14:textId="704BD08F" w:rsidR="00351337" w:rsidRPr="000F7F0E" w:rsidRDefault="00351337" w:rsidP="00351337">
            <w:pPr>
              <w:spacing w:before="60" w:after="120"/>
              <w:jc w:val="center"/>
            </w:pPr>
            <w:hyperlink r:id="rId84" w:history="1">
              <w:r w:rsidRPr="00944D92">
                <w:rPr>
                  <w:rStyle w:val="Hyperlink"/>
                </w:rPr>
                <w:t>Federal Register</w:t>
              </w:r>
            </w:hyperlink>
          </w:p>
          <w:p w14:paraId="43CA2BEB" w14:textId="52B117E0" w:rsidR="00351337" w:rsidRPr="000F7F0E" w:rsidRDefault="00351337" w:rsidP="00351337">
            <w:pPr>
              <w:spacing w:before="60"/>
              <w:jc w:val="center"/>
              <w:rPr>
                <w:b/>
                <w:bCs/>
              </w:rPr>
            </w:pPr>
            <w:hyperlink r:id="rId85" w:history="1">
              <w:r w:rsidRPr="00944D92">
                <w:rPr>
                  <w:rStyle w:val="Hyperlink"/>
                </w:rPr>
                <w:t>Regulations.gov</w:t>
              </w:r>
            </w:hyperlink>
          </w:p>
        </w:tc>
      </w:tr>
      <w:tr w:rsidR="00351337" w14:paraId="28CA9B8F" w14:textId="77777777" w:rsidTr="00853F4F">
        <w:tc>
          <w:tcPr>
            <w:tcW w:w="7015" w:type="dxa"/>
          </w:tcPr>
          <w:p w14:paraId="0E142A53" w14:textId="77777777" w:rsidR="00351337" w:rsidRDefault="00351337" w:rsidP="00351337">
            <w:pPr>
              <w:spacing w:before="60" w:after="120"/>
            </w:pPr>
            <w:r>
              <w:rPr>
                <w:b/>
                <w:bCs/>
              </w:rPr>
              <w:t xml:space="preserve">Federal Reserve Board Proposed Rule: </w:t>
            </w:r>
            <w:r w:rsidRPr="00834B14">
              <w:t>Debit Card Interchange Fees and Routing</w:t>
            </w:r>
          </w:p>
          <w:p w14:paraId="36A85C56" w14:textId="6E584AEB" w:rsidR="00351337" w:rsidRPr="00A84957" w:rsidRDefault="00351337" w:rsidP="00351337">
            <w:pPr>
              <w:spacing w:before="60" w:after="240"/>
              <w:ind w:left="345"/>
              <w:rPr>
                <w:b/>
                <w:bCs/>
              </w:rPr>
            </w:pPr>
            <w:r w:rsidRPr="00A84957">
              <w:rPr>
                <w:b/>
                <w:bCs/>
              </w:rPr>
              <w:t xml:space="preserve">Docket No. </w:t>
            </w:r>
            <w:r>
              <w:t>R-1818</w:t>
            </w:r>
          </w:p>
          <w:p w14:paraId="73EB3332" w14:textId="77777777" w:rsidR="00351337" w:rsidRDefault="00351337" w:rsidP="00351337">
            <w:pPr>
              <w:spacing w:before="60" w:after="60"/>
            </w:pPr>
            <w:r>
              <w:t>This proposed rule would make significant revisions to Regulation II’s interchange fee cap. Specifically, the proposed revisions would update all three components of the interchange fee cap based on the latest data reported to the Board by covered issuers regarding debit card transactions performed in 2021. Under the proposal:</w:t>
            </w:r>
          </w:p>
          <w:p w14:paraId="2117EAD8" w14:textId="77777777" w:rsidR="00351337" w:rsidRDefault="00351337" w:rsidP="00351337">
            <w:pPr>
              <w:pStyle w:val="ListParagraph"/>
              <w:numPr>
                <w:ilvl w:val="2"/>
                <w:numId w:val="7"/>
              </w:numPr>
              <w:spacing w:before="60" w:after="240"/>
              <w:ind w:left="615" w:hanging="360"/>
            </w:pPr>
            <w:r>
              <w:t>The base component would be 14.4 cents (down from 21.0 cents)</w:t>
            </w:r>
          </w:p>
          <w:p w14:paraId="2D9926AE" w14:textId="77777777" w:rsidR="00351337" w:rsidRDefault="00351337" w:rsidP="00351337">
            <w:pPr>
              <w:pStyle w:val="ListParagraph"/>
              <w:numPr>
                <w:ilvl w:val="2"/>
                <w:numId w:val="7"/>
              </w:numPr>
              <w:spacing w:before="60" w:after="240"/>
              <w:ind w:left="615" w:hanging="360"/>
            </w:pPr>
            <w:r>
              <w:t>The ad valorem component would be 4.0 basis points (down from 5.0 basis points)</w:t>
            </w:r>
          </w:p>
          <w:p w14:paraId="676D9C41" w14:textId="77777777" w:rsidR="00351337" w:rsidRDefault="00351337" w:rsidP="00351337">
            <w:pPr>
              <w:pStyle w:val="ListParagraph"/>
              <w:numPr>
                <w:ilvl w:val="2"/>
                <w:numId w:val="7"/>
              </w:numPr>
              <w:spacing w:before="60" w:after="60"/>
              <w:ind w:left="615" w:hanging="360"/>
            </w:pPr>
            <w:r>
              <w:t>The fraud-prevention adjustment would be 1.3 cents (up from 1.0 cents)</w:t>
            </w:r>
          </w:p>
          <w:p w14:paraId="7310488B" w14:textId="77777777" w:rsidR="00351337" w:rsidRDefault="00351337" w:rsidP="00351337">
            <w:pPr>
              <w:spacing w:before="60" w:after="120"/>
            </w:pPr>
            <w:r>
              <w:t xml:space="preserve">Additionally, the proposal would codify in Reg II an approach for updating the three components of the interchange fee cap every other year going forward based on the latest data reported to the Board by covered issuers, without opportunity for public comment. </w:t>
            </w:r>
          </w:p>
          <w:p w14:paraId="52BC0204" w14:textId="77777777" w:rsidR="00351337" w:rsidRDefault="00351337" w:rsidP="00351337">
            <w:pPr>
              <w:spacing w:before="60" w:after="120"/>
              <w:ind w:left="345"/>
              <w:rPr>
                <w:rStyle w:val="Hyperlink"/>
              </w:rPr>
            </w:pPr>
            <w:r w:rsidRPr="001C6D70">
              <w:rPr>
                <w:b/>
                <w:bCs/>
              </w:rPr>
              <w:t>Related Materials:</w:t>
            </w:r>
            <w:r>
              <w:t xml:space="preserve"> </w:t>
            </w:r>
            <w:hyperlink r:id="rId86" w:history="1">
              <w:r w:rsidRPr="001C6D70">
                <w:rPr>
                  <w:rStyle w:val="Hyperlink"/>
                </w:rPr>
                <w:t>2021 Interchange Fee Revenue Report</w:t>
              </w:r>
            </w:hyperlink>
          </w:p>
          <w:p w14:paraId="11A647AC" w14:textId="77777777" w:rsidR="00351337" w:rsidRPr="007A7BF0" w:rsidRDefault="00351337" w:rsidP="00351337">
            <w:pPr>
              <w:spacing w:before="60" w:after="60"/>
              <w:rPr>
                <w:u w:val="single"/>
              </w:rPr>
            </w:pPr>
            <w:r w:rsidRPr="007A7BF0">
              <w:rPr>
                <w:u w:val="single"/>
              </w:rPr>
              <w:t>Additional relevant information:</w:t>
            </w:r>
          </w:p>
          <w:p w14:paraId="638C7E44" w14:textId="77777777" w:rsidR="00351337" w:rsidRPr="00FA4BBB" w:rsidRDefault="00351337" w:rsidP="00351337">
            <w:pPr>
              <w:pStyle w:val="ListParagraph"/>
              <w:numPr>
                <w:ilvl w:val="0"/>
                <w:numId w:val="26"/>
              </w:numPr>
              <w:spacing w:before="60" w:after="240"/>
              <w:rPr>
                <w:rStyle w:val="Hyperlink"/>
                <w:b/>
                <w:bCs/>
                <w:color w:val="auto"/>
                <w:u w:val="none"/>
              </w:rPr>
            </w:pPr>
            <w:hyperlink r:id="rId87" w:history="1">
              <w:r w:rsidRPr="00D616BB">
                <w:rPr>
                  <w:rStyle w:val="Hyperlink"/>
                </w:rPr>
                <w:t>Governor Bowman Dissent</w:t>
              </w:r>
            </w:hyperlink>
          </w:p>
          <w:p w14:paraId="3C5582C1" w14:textId="6E7F4598" w:rsidR="00351337" w:rsidRPr="00FA4BBB" w:rsidRDefault="00351337" w:rsidP="00351337">
            <w:pPr>
              <w:pStyle w:val="ListParagraph"/>
              <w:numPr>
                <w:ilvl w:val="0"/>
                <w:numId w:val="26"/>
              </w:numPr>
              <w:spacing w:before="60" w:after="240"/>
            </w:pPr>
            <w:r w:rsidRPr="00FA4BBB">
              <w:t xml:space="preserve">NAFCU, CUNA and other trades have submitted a </w:t>
            </w:r>
            <w:hyperlink r:id="rId88" w:history="1">
              <w:r w:rsidRPr="00FA4BBB">
                <w:rPr>
                  <w:rStyle w:val="Hyperlink"/>
                </w:rPr>
                <w:t>letter</w:t>
              </w:r>
            </w:hyperlink>
            <w:r w:rsidRPr="00FA4BBB">
              <w:t xml:space="preserve"> to the </w:t>
            </w:r>
            <w:r>
              <w:t>FRB</w:t>
            </w:r>
            <w:r w:rsidRPr="00FA4BBB">
              <w:t xml:space="preserve"> requesting an extension </w:t>
            </w:r>
            <w:r>
              <w:t>of an additional</w:t>
            </w:r>
            <w:r w:rsidRPr="00FA4BBB">
              <w:t xml:space="preserve"> 90 days </w:t>
            </w:r>
            <w:r>
              <w:t>to comment.</w:t>
            </w:r>
          </w:p>
        </w:tc>
        <w:tc>
          <w:tcPr>
            <w:tcW w:w="2340" w:type="dxa"/>
          </w:tcPr>
          <w:p w14:paraId="43851546" w14:textId="77777777" w:rsidR="00351337" w:rsidRPr="000F7F0E" w:rsidRDefault="00351337" w:rsidP="00351337">
            <w:pPr>
              <w:spacing w:before="60"/>
              <w:jc w:val="center"/>
              <w:rPr>
                <w:b/>
                <w:bCs/>
              </w:rPr>
            </w:pPr>
            <w:r w:rsidRPr="000F7F0E">
              <w:rPr>
                <w:b/>
                <w:bCs/>
              </w:rPr>
              <w:lastRenderedPageBreak/>
              <w:t>Comments Due:</w:t>
            </w:r>
          </w:p>
          <w:p w14:paraId="638DFD70" w14:textId="6986FBAF" w:rsidR="00351337" w:rsidRDefault="00351337" w:rsidP="00351337">
            <w:pPr>
              <w:spacing w:after="240"/>
              <w:jc w:val="center"/>
            </w:pPr>
            <w:r>
              <w:t>February 12, 2024</w:t>
            </w:r>
          </w:p>
          <w:p w14:paraId="594097D0" w14:textId="77777777" w:rsidR="00351337" w:rsidRDefault="00351337" w:rsidP="00351337">
            <w:pPr>
              <w:spacing w:after="120"/>
              <w:jc w:val="center"/>
            </w:pPr>
            <w:hyperlink r:id="rId89" w:history="1">
              <w:r w:rsidRPr="00BE24E6">
                <w:rPr>
                  <w:rStyle w:val="Hyperlink"/>
                </w:rPr>
                <w:t>Agency Announcement</w:t>
              </w:r>
            </w:hyperlink>
          </w:p>
          <w:p w14:paraId="1E0CF682" w14:textId="446F814F" w:rsidR="00351337" w:rsidRPr="00FF7559" w:rsidRDefault="00351337" w:rsidP="00351337">
            <w:pPr>
              <w:spacing w:before="60" w:after="120"/>
              <w:jc w:val="center"/>
            </w:pPr>
            <w:hyperlink r:id="rId90" w:history="1">
              <w:r w:rsidRPr="00FF7559">
                <w:rPr>
                  <w:rStyle w:val="Hyperlink"/>
                </w:rPr>
                <w:t>Federal Register</w:t>
              </w:r>
            </w:hyperlink>
          </w:p>
          <w:p w14:paraId="3785F311" w14:textId="4329E89C" w:rsidR="00351337" w:rsidRPr="000F7F0E" w:rsidRDefault="00351337" w:rsidP="00351337">
            <w:pPr>
              <w:spacing w:before="60"/>
              <w:jc w:val="center"/>
              <w:rPr>
                <w:b/>
                <w:bCs/>
              </w:rPr>
            </w:pPr>
            <w:hyperlink r:id="rId91" w:history="1">
              <w:r w:rsidRPr="00FF7559">
                <w:rPr>
                  <w:rStyle w:val="Hyperlink"/>
                </w:rPr>
                <w:t>Regulations.gov</w:t>
              </w:r>
            </w:hyperlink>
          </w:p>
        </w:tc>
      </w:tr>
      <w:tr w:rsidR="00351337" w14:paraId="1325089A" w14:textId="77777777" w:rsidTr="00853F4F">
        <w:tc>
          <w:tcPr>
            <w:tcW w:w="7015" w:type="dxa"/>
          </w:tcPr>
          <w:p w14:paraId="49398CA7" w14:textId="011E71BC" w:rsidR="00351337" w:rsidRDefault="00351337" w:rsidP="00351337">
            <w:pPr>
              <w:spacing w:before="60" w:after="120"/>
            </w:pPr>
            <w:r>
              <w:rPr>
                <w:b/>
                <w:bCs/>
              </w:rPr>
              <w:t>NCUA Request for Comment</w:t>
            </w:r>
            <w:r>
              <w:rPr>
                <w:b/>
                <w:bCs/>
              </w:rPr>
              <w:t xml:space="preserve">: </w:t>
            </w:r>
            <w:r w:rsidRPr="000D5D28">
              <w:t>Overhead Transfer Rate Methodology</w:t>
            </w:r>
          </w:p>
          <w:p w14:paraId="3FD5CAE5" w14:textId="72576C27" w:rsidR="00351337" w:rsidRPr="00A84957" w:rsidRDefault="00351337" w:rsidP="00351337">
            <w:pPr>
              <w:spacing w:before="60" w:after="240"/>
              <w:ind w:left="345"/>
              <w:rPr>
                <w:b/>
                <w:bCs/>
              </w:rPr>
            </w:pPr>
            <w:r w:rsidRPr="00A84957">
              <w:rPr>
                <w:b/>
                <w:bCs/>
              </w:rPr>
              <w:t xml:space="preserve">Docket No. </w:t>
            </w:r>
            <w:r w:rsidRPr="000D5D28">
              <w:t>NCUA-2023-0142</w:t>
            </w:r>
          </w:p>
          <w:p w14:paraId="271B3998" w14:textId="6A390EC0" w:rsidR="00351337" w:rsidRPr="000D5D28" w:rsidRDefault="00351337" w:rsidP="00351337">
            <w:pPr>
              <w:spacing w:before="60" w:after="120"/>
            </w:pPr>
            <w:r w:rsidRPr="000D5D28">
              <w:t>The NCUA Board (Board) is inviting comment on the methodology used to determine the Overhead Transfer Rate (OTR). The Board applies the OTR to the NCUA's operating budget to determine the portion of the budget that will be funded from the National Credit Union Share Insurance Fund (Share Insurance Fund). In response to industry recommendations, the Board has provided more detail, clarity, and transparency so the public can better understand the OTR methodology.</w:t>
            </w:r>
            <w:r>
              <w:t xml:space="preserve"> </w:t>
            </w:r>
            <w:r w:rsidRPr="000D5D28">
              <w:t>No changes to the existing OTR methodology are being proposed as part of this request for comment. The added transparency and clarity do not constitute a change in methodology.</w:t>
            </w:r>
          </w:p>
        </w:tc>
        <w:tc>
          <w:tcPr>
            <w:tcW w:w="2340" w:type="dxa"/>
          </w:tcPr>
          <w:p w14:paraId="25107ACB" w14:textId="77777777" w:rsidR="00351337" w:rsidRPr="000F7F0E" w:rsidRDefault="00351337" w:rsidP="00351337">
            <w:pPr>
              <w:spacing w:before="60"/>
              <w:jc w:val="center"/>
              <w:rPr>
                <w:b/>
                <w:bCs/>
              </w:rPr>
            </w:pPr>
            <w:r w:rsidRPr="000F7F0E">
              <w:rPr>
                <w:b/>
                <w:bCs/>
              </w:rPr>
              <w:t>Comments Due:</w:t>
            </w:r>
          </w:p>
          <w:p w14:paraId="044391BF" w14:textId="5BDB6867" w:rsidR="00351337" w:rsidRDefault="00351337" w:rsidP="00351337">
            <w:pPr>
              <w:spacing w:after="240"/>
              <w:jc w:val="center"/>
            </w:pPr>
            <w:r>
              <w:t xml:space="preserve">February </w:t>
            </w:r>
            <w:r>
              <w:t>20</w:t>
            </w:r>
            <w:r>
              <w:t>, 2024</w:t>
            </w:r>
          </w:p>
          <w:p w14:paraId="2F3AF141" w14:textId="303B9BDB" w:rsidR="00351337" w:rsidRDefault="00351337" w:rsidP="00351337">
            <w:pPr>
              <w:spacing w:after="120"/>
              <w:jc w:val="center"/>
            </w:pPr>
            <w:hyperlink r:id="rId92" w:history="1">
              <w:r w:rsidRPr="000D5D28">
                <w:rPr>
                  <w:rStyle w:val="Hyperlink"/>
                </w:rPr>
                <w:t>Agency Announcement</w:t>
              </w:r>
            </w:hyperlink>
          </w:p>
          <w:p w14:paraId="03460C2E" w14:textId="46EB271F" w:rsidR="00351337" w:rsidRPr="00FF7559" w:rsidRDefault="00351337" w:rsidP="00351337">
            <w:pPr>
              <w:spacing w:before="60" w:after="120"/>
              <w:jc w:val="center"/>
            </w:pPr>
            <w:hyperlink r:id="rId93" w:history="1">
              <w:r w:rsidRPr="000D5D28">
                <w:rPr>
                  <w:rStyle w:val="Hyperlink"/>
                </w:rPr>
                <w:t>Federal Register</w:t>
              </w:r>
            </w:hyperlink>
          </w:p>
          <w:p w14:paraId="5A7D474C" w14:textId="01A63FD0" w:rsidR="00351337" w:rsidRPr="000F7F0E" w:rsidRDefault="00351337" w:rsidP="00351337">
            <w:pPr>
              <w:spacing w:before="60"/>
              <w:jc w:val="center"/>
              <w:rPr>
                <w:b/>
                <w:bCs/>
              </w:rPr>
            </w:pPr>
            <w:hyperlink r:id="rId94" w:history="1">
              <w:r w:rsidRPr="000D5D28">
                <w:rPr>
                  <w:rStyle w:val="Hyperlink"/>
                </w:rPr>
                <w:t>Regulations.gov</w:t>
              </w:r>
            </w:hyperlink>
          </w:p>
        </w:tc>
      </w:tr>
      <w:tr w:rsidR="00351337" w:rsidRPr="00766443" w14:paraId="27811D88" w14:textId="77777777" w:rsidTr="00853F4F">
        <w:tc>
          <w:tcPr>
            <w:tcW w:w="9355" w:type="dxa"/>
            <w:gridSpan w:val="2"/>
            <w:shd w:val="clear" w:color="auto" w:fill="4472C4" w:themeFill="accent1"/>
          </w:tcPr>
          <w:p w14:paraId="32815AB2" w14:textId="26F0060C" w:rsidR="00351337" w:rsidRPr="00766443" w:rsidRDefault="00351337" w:rsidP="00351337">
            <w:pPr>
              <w:spacing w:before="120" w:after="120"/>
              <w:jc w:val="center"/>
              <w:rPr>
                <w:b/>
                <w:bCs/>
                <w:color w:val="FFFFFF" w:themeColor="background1"/>
                <w:sz w:val="28"/>
                <w:szCs w:val="28"/>
              </w:rPr>
            </w:pPr>
            <w:r>
              <w:rPr>
                <w:b/>
                <w:bCs/>
                <w:color w:val="FFFFFF" w:themeColor="background1"/>
                <w:sz w:val="28"/>
                <w:szCs w:val="28"/>
              </w:rPr>
              <w:t>Relevant Federal Rulemaking Links</w:t>
            </w:r>
          </w:p>
        </w:tc>
      </w:tr>
      <w:tr w:rsidR="00351337" w:rsidRPr="00766443" w14:paraId="383FEFA9" w14:textId="77777777" w:rsidTr="00853F4F">
        <w:tc>
          <w:tcPr>
            <w:tcW w:w="9355" w:type="dxa"/>
            <w:gridSpan w:val="2"/>
            <w:shd w:val="clear" w:color="auto" w:fill="auto"/>
          </w:tcPr>
          <w:p w14:paraId="5D5C1A5D" w14:textId="77777777" w:rsidR="00351337" w:rsidRPr="00853F4F" w:rsidRDefault="00351337" w:rsidP="00351337">
            <w:pPr>
              <w:spacing w:before="120" w:after="120"/>
              <w:rPr>
                <w:sz w:val="2"/>
                <w:szCs w:val="2"/>
              </w:rPr>
            </w:pPr>
          </w:p>
          <w:tbl>
            <w:tblPr>
              <w:tblStyle w:val="TableGrid"/>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78"/>
              <w:gridCol w:w="1637"/>
              <w:gridCol w:w="1638"/>
              <w:gridCol w:w="1597"/>
              <w:gridCol w:w="1679"/>
            </w:tblGrid>
            <w:tr w:rsidR="00351337" w14:paraId="451256D4" w14:textId="4304118A" w:rsidTr="006147A0">
              <w:trPr>
                <w:jc w:val="center"/>
              </w:trPr>
              <w:tc>
                <w:tcPr>
                  <w:tcW w:w="2578" w:type="dxa"/>
                  <w:vAlign w:val="center"/>
                </w:tcPr>
                <w:p w14:paraId="255800ED" w14:textId="205DAF71" w:rsidR="00351337" w:rsidRPr="0024001F" w:rsidRDefault="00351337" w:rsidP="00351337">
                  <w:pPr>
                    <w:spacing w:before="120" w:after="120"/>
                    <w:jc w:val="center"/>
                    <w:rPr>
                      <w:b/>
                      <w:bCs/>
                    </w:rPr>
                  </w:pPr>
                  <w:r w:rsidRPr="0024001F">
                    <w:rPr>
                      <w:b/>
                      <w:bCs/>
                    </w:rPr>
                    <w:t>Agency</w:t>
                  </w:r>
                </w:p>
              </w:tc>
              <w:tc>
                <w:tcPr>
                  <w:tcW w:w="1637" w:type="dxa"/>
                  <w:vAlign w:val="center"/>
                </w:tcPr>
                <w:p w14:paraId="4BE9B500" w14:textId="4D9F0EE6" w:rsidR="00351337" w:rsidRPr="0024001F" w:rsidRDefault="00351337" w:rsidP="00351337">
                  <w:pPr>
                    <w:spacing w:before="120" w:after="120"/>
                    <w:jc w:val="center"/>
                    <w:rPr>
                      <w:b/>
                      <w:bCs/>
                    </w:rPr>
                  </w:pPr>
                  <w:r w:rsidRPr="0024001F">
                    <w:rPr>
                      <w:b/>
                      <w:bCs/>
                    </w:rPr>
                    <w:t>Unified Rulemaking Agenda</w:t>
                  </w:r>
                </w:p>
                <w:p w14:paraId="3C2844E9" w14:textId="660B3765" w:rsidR="00351337" w:rsidRPr="0024001F" w:rsidRDefault="00351337" w:rsidP="00351337">
                  <w:pPr>
                    <w:spacing w:before="120" w:after="120"/>
                    <w:jc w:val="center"/>
                    <w:rPr>
                      <w:b/>
                      <w:bCs/>
                    </w:rPr>
                  </w:pPr>
                  <w:r w:rsidRPr="0024001F">
                    <w:rPr>
                      <w:b/>
                      <w:bCs/>
                    </w:rPr>
                    <w:t>(</w:t>
                  </w:r>
                  <w:r>
                    <w:rPr>
                      <w:b/>
                      <w:bCs/>
                    </w:rPr>
                    <w:t>Fall</w:t>
                  </w:r>
                  <w:r w:rsidRPr="0024001F">
                    <w:rPr>
                      <w:b/>
                      <w:bCs/>
                    </w:rPr>
                    <w:t xml:space="preserve"> 2023 Update)</w:t>
                  </w:r>
                </w:p>
              </w:tc>
              <w:tc>
                <w:tcPr>
                  <w:tcW w:w="1638" w:type="dxa"/>
                  <w:vAlign w:val="center"/>
                </w:tcPr>
                <w:p w14:paraId="6FE87D0D" w14:textId="7610CD4B" w:rsidR="00351337" w:rsidRPr="0024001F" w:rsidRDefault="00351337" w:rsidP="00351337">
                  <w:pPr>
                    <w:spacing w:before="120" w:after="120"/>
                    <w:jc w:val="center"/>
                    <w:rPr>
                      <w:b/>
                      <w:bCs/>
                    </w:rPr>
                  </w:pPr>
                  <w:r w:rsidRPr="0024001F">
                    <w:rPr>
                      <w:b/>
                      <w:bCs/>
                    </w:rPr>
                    <w:t>Agency Rulemaking Tracker</w:t>
                  </w:r>
                </w:p>
              </w:tc>
              <w:tc>
                <w:tcPr>
                  <w:tcW w:w="1597" w:type="dxa"/>
                  <w:vAlign w:val="center"/>
                </w:tcPr>
                <w:p w14:paraId="40A60455" w14:textId="3ECF454A" w:rsidR="00351337" w:rsidRPr="0024001F" w:rsidRDefault="00351337" w:rsidP="00351337">
                  <w:pPr>
                    <w:spacing w:before="120" w:after="120"/>
                    <w:jc w:val="center"/>
                    <w:rPr>
                      <w:b/>
                      <w:bCs/>
                    </w:rPr>
                  </w:pPr>
                  <w:r>
                    <w:rPr>
                      <w:b/>
                      <w:bCs/>
                    </w:rPr>
                    <w:t>Federal Register</w:t>
                  </w:r>
                </w:p>
              </w:tc>
              <w:tc>
                <w:tcPr>
                  <w:tcW w:w="1679" w:type="dxa"/>
                  <w:vAlign w:val="center"/>
                </w:tcPr>
                <w:p w14:paraId="0E21C649" w14:textId="692F338E" w:rsidR="00351337" w:rsidRDefault="00351337" w:rsidP="00351337">
                  <w:pPr>
                    <w:spacing w:before="120" w:after="120"/>
                    <w:jc w:val="center"/>
                    <w:rPr>
                      <w:b/>
                      <w:bCs/>
                    </w:rPr>
                  </w:pPr>
                  <w:r>
                    <w:rPr>
                      <w:b/>
                      <w:bCs/>
                    </w:rPr>
                    <w:t>Regulations.gov</w:t>
                  </w:r>
                </w:p>
              </w:tc>
            </w:tr>
            <w:tr w:rsidR="00351337" w14:paraId="5406910A" w14:textId="40C08841" w:rsidTr="006147A0">
              <w:trPr>
                <w:jc w:val="center"/>
              </w:trPr>
              <w:tc>
                <w:tcPr>
                  <w:tcW w:w="2578" w:type="dxa"/>
                </w:tcPr>
                <w:p w14:paraId="6B99EDA3" w14:textId="18465B4E" w:rsidR="00351337" w:rsidRDefault="00351337" w:rsidP="00351337">
                  <w:pPr>
                    <w:spacing w:before="120" w:after="120"/>
                    <w:jc w:val="center"/>
                  </w:pPr>
                  <w:r>
                    <w:t>NCUA</w:t>
                  </w:r>
                </w:p>
              </w:tc>
              <w:tc>
                <w:tcPr>
                  <w:tcW w:w="1637" w:type="dxa"/>
                </w:tcPr>
                <w:p w14:paraId="0B3E7244" w14:textId="4845FB5E" w:rsidR="00351337" w:rsidRDefault="00351337" w:rsidP="00351337">
                  <w:pPr>
                    <w:spacing w:before="120" w:after="120"/>
                    <w:jc w:val="center"/>
                  </w:pPr>
                  <w:hyperlink r:id="rId95" w:history="1">
                    <w:r w:rsidRPr="00F61A34">
                      <w:rPr>
                        <w:rStyle w:val="Hyperlink"/>
                      </w:rPr>
                      <w:t>LINK</w:t>
                    </w:r>
                  </w:hyperlink>
                </w:p>
              </w:tc>
              <w:tc>
                <w:tcPr>
                  <w:tcW w:w="1638" w:type="dxa"/>
                </w:tcPr>
                <w:p w14:paraId="75B24B7A" w14:textId="67BD2AB6" w:rsidR="00351337" w:rsidRDefault="00351337" w:rsidP="00351337">
                  <w:pPr>
                    <w:spacing w:before="120" w:after="120"/>
                    <w:jc w:val="center"/>
                  </w:pPr>
                  <w:hyperlink r:id="rId96" w:history="1">
                    <w:r w:rsidRPr="00F61A34">
                      <w:rPr>
                        <w:rStyle w:val="Hyperlink"/>
                      </w:rPr>
                      <w:t>LINK</w:t>
                    </w:r>
                  </w:hyperlink>
                </w:p>
              </w:tc>
              <w:tc>
                <w:tcPr>
                  <w:tcW w:w="1597" w:type="dxa"/>
                </w:tcPr>
                <w:p w14:paraId="0C75A401" w14:textId="606B3D1E" w:rsidR="00351337" w:rsidRDefault="00351337" w:rsidP="00351337">
                  <w:pPr>
                    <w:spacing w:before="120" w:after="120"/>
                    <w:jc w:val="center"/>
                  </w:pPr>
                  <w:hyperlink r:id="rId97" w:history="1">
                    <w:r w:rsidRPr="00853F4F">
                      <w:rPr>
                        <w:rStyle w:val="Hyperlink"/>
                      </w:rPr>
                      <w:t>LINK</w:t>
                    </w:r>
                  </w:hyperlink>
                </w:p>
              </w:tc>
              <w:tc>
                <w:tcPr>
                  <w:tcW w:w="1679" w:type="dxa"/>
                </w:tcPr>
                <w:p w14:paraId="3538061F" w14:textId="417FE846" w:rsidR="00351337" w:rsidRDefault="00351337" w:rsidP="00351337">
                  <w:pPr>
                    <w:spacing w:before="120" w:after="120"/>
                    <w:jc w:val="center"/>
                  </w:pPr>
                  <w:hyperlink r:id="rId98" w:history="1">
                    <w:r w:rsidRPr="00842988">
                      <w:rPr>
                        <w:rStyle w:val="Hyperlink"/>
                      </w:rPr>
                      <w:t>LINK</w:t>
                    </w:r>
                  </w:hyperlink>
                </w:p>
              </w:tc>
            </w:tr>
            <w:tr w:rsidR="00351337" w14:paraId="6E53555D" w14:textId="414FAB4D" w:rsidTr="006147A0">
              <w:trPr>
                <w:jc w:val="center"/>
              </w:trPr>
              <w:tc>
                <w:tcPr>
                  <w:tcW w:w="2578" w:type="dxa"/>
                </w:tcPr>
                <w:p w14:paraId="1AF70114" w14:textId="444BB473" w:rsidR="00351337" w:rsidRDefault="00351337" w:rsidP="00351337">
                  <w:pPr>
                    <w:spacing w:before="120" w:after="120"/>
                    <w:jc w:val="center"/>
                  </w:pPr>
                  <w:r>
                    <w:t>CFPB</w:t>
                  </w:r>
                </w:p>
              </w:tc>
              <w:tc>
                <w:tcPr>
                  <w:tcW w:w="1637" w:type="dxa"/>
                </w:tcPr>
                <w:p w14:paraId="10F12AF2" w14:textId="743DC8DB" w:rsidR="00351337" w:rsidRDefault="00351337" w:rsidP="00351337">
                  <w:pPr>
                    <w:spacing w:before="120" w:after="120"/>
                    <w:jc w:val="center"/>
                  </w:pPr>
                  <w:hyperlink r:id="rId99" w:history="1">
                    <w:r w:rsidRPr="00F61A34">
                      <w:rPr>
                        <w:rStyle w:val="Hyperlink"/>
                      </w:rPr>
                      <w:t>LINK</w:t>
                    </w:r>
                  </w:hyperlink>
                </w:p>
              </w:tc>
              <w:tc>
                <w:tcPr>
                  <w:tcW w:w="1638" w:type="dxa"/>
                </w:tcPr>
                <w:p w14:paraId="0F092EC1" w14:textId="64F54F8E" w:rsidR="00351337" w:rsidRDefault="00351337" w:rsidP="00351337">
                  <w:pPr>
                    <w:spacing w:before="120" w:after="120"/>
                    <w:jc w:val="center"/>
                  </w:pPr>
                  <w:hyperlink r:id="rId100" w:history="1">
                    <w:r w:rsidRPr="00F61A34">
                      <w:rPr>
                        <w:rStyle w:val="Hyperlink"/>
                      </w:rPr>
                      <w:t>LINK</w:t>
                    </w:r>
                  </w:hyperlink>
                </w:p>
              </w:tc>
              <w:tc>
                <w:tcPr>
                  <w:tcW w:w="1597" w:type="dxa"/>
                </w:tcPr>
                <w:p w14:paraId="5842C2F6" w14:textId="26EEF453" w:rsidR="00351337" w:rsidRDefault="00351337" w:rsidP="00351337">
                  <w:pPr>
                    <w:spacing w:before="120" w:after="120"/>
                    <w:jc w:val="center"/>
                  </w:pPr>
                  <w:hyperlink r:id="rId101" w:history="1">
                    <w:r w:rsidRPr="00853F4F">
                      <w:rPr>
                        <w:rStyle w:val="Hyperlink"/>
                      </w:rPr>
                      <w:t>LINK</w:t>
                    </w:r>
                  </w:hyperlink>
                </w:p>
              </w:tc>
              <w:tc>
                <w:tcPr>
                  <w:tcW w:w="1679" w:type="dxa"/>
                </w:tcPr>
                <w:p w14:paraId="286B9339" w14:textId="6A5F4577" w:rsidR="00351337" w:rsidRDefault="00351337" w:rsidP="00351337">
                  <w:pPr>
                    <w:spacing w:before="120" w:after="120"/>
                    <w:jc w:val="center"/>
                  </w:pPr>
                  <w:hyperlink r:id="rId102" w:history="1">
                    <w:r w:rsidRPr="00842988">
                      <w:rPr>
                        <w:rStyle w:val="Hyperlink"/>
                      </w:rPr>
                      <w:t>LINK</w:t>
                    </w:r>
                  </w:hyperlink>
                </w:p>
              </w:tc>
            </w:tr>
            <w:tr w:rsidR="00351337" w14:paraId="3A90D3E9" w14:textId="41FBBAEA" w:rsidTr="00E77FB6">
              <w:trPr>
                <w:trHeight w:val="377"/>
                <w:jc w:val="center"/>
              </w:trPr>
              <w:tc>
                <w:tcPr>
                  <w:tcW w:w="2578" w:type="dxa"/>
                  <w:tcBorders>
                    <w:bottom w:val="nil"/>
                  </w:tcBorders>
                </w:tcPr>
                <w:p w14:paraId="0DFEB3EB" w14:textId="40A43E76" w:rsidR="00351337" w:rsidRDefault="00351337" w:rsidP="00351337">
                  <w:pPr>
                    <w:spacing w:before="120"/>
                    <w:jc w:val="center"/>
                  </w:pPr>
                  <w:r>
                    <w:t>Treasury</w:t>
                  </w:r>
                </w:p>
              </w:tc>
              <w:tc>
                <w:tcPr>
                  <w:tcW w:w="1637" w:type="dxa"/>
                  <w:tcBorders>
                    <w:bottom w:val="nil"/>
                  </w:tcBorders>
                </w:tcPr>
                <w:p w14:paraId="7F48FDD5" w14:textId="1CF0D6B8" w:rsidR="00351337" w:rsidRDefault="00351337" w:rsidP="00351337">
                  <w:pPr>
                    <w:spacing w:before="120"/>
                    <w:jc w:val="center"/>
                  </w:pPr>
                  <w:hyperlink r:id="rId103" w:history="1">
                    <w:r w:rsidRPr="00F61A34">
                      <w:rPr>
                        <w:rStyle w:val="Hyperlink"/>
                      </w:rPr>
                      <w:t>LINK</w:t>
                    </w:r>
                  </w:hyperlink>
                </w:p>
              </w:tc>
              <w:tc>
                <w:tcPr>
                  <w:tcW w:w="1638" w:type="dxa"/>
                  <w:tcBorders>
                    <w:bottom w:val="nil"/>
                  </w:tcBorders>
                </w:tcPr>
                <w:p w14:paraId="2E3ECED0" w14:textId="4E95ED97" w:rsidR="00351337" w:rsidRDefault="00351337" w:rsidP="00351337">
                  <w:pPr>
                    <w:spacing w:before="120"/>
                    <w:jc w:val="center"/>
                  </w:pPr>
                  <w:r>
                    <w:t>n/a</w:t>
                  </w:r>
                </w:p>
              </w:tc>
              <w:tc>
                <w:tcPr>
                  <w:tcW w:w="1597" w:type="dxa"/>
                  <w:tcBorders>
                    <w:bottom w:val="nil"/>
                  </w:tcBorders>
                </w:tcPr>
                <w:p w14:paraId="342E6AAE" w14:textId="31566F0D" w:rsidR="00351337" w:rsidRDefault="00351337" w:rsidP="00351337">
                  <w:pPr>
                    <w:spacing w:before="120"/>
                    <w:jc w:val="center"/>
                  </w:pPr>
                  <w:hyperlink r:id="rId104" w:history="1">
                    <w:r w:rsidRPr="00343575">
                      <w:rPr>
                        <w:rStyle w:val="Hyperlink"/>
                      </w:rPr>
                      <w:t>LINK</w:t>
                    </w:r>
                  </w:hyperlink>
                </w:p>
              </w:tc>
              <w:tc>
                <w:tcPr>
                  <w:tcW w:w="1679" w:type="dxa"/>
                  <w:tcBorders>
                    <w:bottom w:val="nil"/>
                  </w:tcBorders>
                </w:tcPr>
                <w:p w14:paraId="713E683D" w14:textId="7EC0003E" w:rsidR="00351337" w:rsidRDefault="00351337" w:rsidP="00351337">
                  <w:pPr>
                    <w:spacing w:before="120"/>
                    <w:jc w:val="center"/>
                  </w:pPr>
                  <w:hyperlink r:id="rId105" w:history="1">
                    <w:r w:rsidRPr="00842988">
                      <w:rPr>
                        <w:rStyle w:val="Hyperlink"/>
                      </w:rPr>
                      <w:t>LINK</w:t>
                    </w:r>
                  </w:hyperlink>
                </w:p>
              </w:tc>
            </w:tr>
            <w:tr w:rsidR="00351337" w14:paraId="47774E14" w14:textId="77777777" w:rsidTr="00B309C7">
              <w:trPr>
                <w:trHeight w:val="305"/>
                <w:jc w:val="center"/>
              </w:trPr>
              <w:tc>
                <w:tcPr>
                  <w:tcW w:w="2578" w:type="dxa"/>
                  <w:tcBorders>
                    <w:top w:val="nil"/>
                    <w:left w:val="single" w:sz="4" w:space="0" w:color="D0CECE" w:themeColor="background2" w:themeShade="E6"/>
                    <w:bottom w:val="nil"/>
                    <w:right w:val="single" w:sz="4" w:space="0" w:color="D0CECE" w:themeColor="background2" w:themeShade="E6"/>
                  </w:tcBorders>
                </w:tcPr>
                <w:p w14:paraId="3248E848" w14:textId="34C4C43F" w:rsidR="00351337" w:rsidRPr="00B309C7" w:rsidRDefault="00351337" w:rsidP="00351337">
                  <w:pPr>
                    <w:ind w:left="1125"/>
                    <w:rPr>
                      <w:i/>
                      <w:iCs/>
                    </w:rPr>
                  </w:pPr>
                  <w:r w:rsidRPr="00B309C7">
                    <w:rPr>
                      <w:i/>
                      <w:iCs/>
                    </w:rPr>
                    <w:t>CDFI Fund</w:t>
                  </w:r>
                </w:p>
              </w:tc>
              <w:tc>
                <w:tcPr>
                  <w:tcW w:w="1637" w:type="dxa"/>
                  <w:tcBorders>
                    <w:top w:val="nil"/>
                    <w:left w:val="single" w:sz="4" w:space="0" w:color="D0CECE" w:themeColor="background2" w:themeShade="E6"/>
                    <w:bottom w:val="nil"/>
                    <w:right w:val="single" w:sz="4" w:space="0" w:color="D0CECE" w:themeColor="background2" w:themeShade="E6"/>
                  </w:tcBorders>
                </w:tcPr>
                <w:p w14:paraId="3203F151" w14:textId="7358F5B7" w:rsidR="00351337" w:rsidRDefault="00351337" w:rsidP="00351337">
                  <w:pPr>
                    <w:jc w:val="center"/>
                  </w:pPr>
                  <w:r>
                    <w:t>n/a</w:t>
                  </w:r>
                </w:p>
              </w:tc>
              <w:tc>
                <w:tcPr>
                  <w:tcW w:w="1638" w:type="dxa"/>
                  <w:tcBorders>
                    <w:top w:val="nil"/>
                    <w:left w:val="single" w:sz="4" w:space="0" w:color="D0CECE" w:themeColor="background2" w:themeShade="E6"/>
                    <w:bottom w:val="nil"/>
                    <w:right w:val="single" w:sz="4" w:space="0" w:color="D0CECE" w:themeColor="background2" w:themeShade="E6"/>
                  </w:tcBorders>
                </w:tcPr>
                <w:p w14:paraId="5C4D7E20" w14:textId="785B7039" w:rsidR="00351337" w:rsidRDefault="00351337" w:rsidP="00351337">
                  <w:pPr>
                    <w:pStyle w:val="ListParagraph"/>
                    <w:ind w:left="0"/>
                    <w:jc w:val="center"/>
                  </w:pPr>
                  <w:hyperlink r:id="rId106" w:history="1">
                    <w:r w:rsidRPr="00F61A34">
                      <w:rPr>
                        <w:rStyle w:val="Hyperlink"/>
                      </w:rPr>
                      <w:t>LINK</w:t>
                    </w:r>
                  </w:hyperlink>
                </w:p>
              </w:tc>
              <w:tc>
                <w:tcPr>
                  <w:tcW w:w="1597" w:type="dxa"/>
                  <w:tcBorders>
                    <w:top w:val="nil"/>
                    <w:left w:val="single" w:sz="4" w:space="0" w:color="D0CECE" w:themeColor="background2" w:themeShade="E6"/>
                    <w:bottom w:val="nil"/>
                    <w:right w:val="single" w:sz="4" w:space="0" w:color="D0CECE" w:themeColor="background2" w:themeShade="E6"/>
                  </w:tcBorders>
                  <w:vAlign w:val="center"/>
                </w:tcPr>
                <w:p w14:paraId="23EC7954" w14:textId="564EE8E1" w:rsidR="00351337" w:rsidRDefault="00351337" w:rsidP="00351337">
                  <w:pPr>
                    <w:pStyle w:val="ListParagraph"/>
                    <w:ind w:left="0"/>
                    <w:jc w:val="center"/>
                  </w:pPr>
                  <w:hyperlink r:id="rId107" w:history="1">
                    <w:r w:rsidRPr="00C868B9">
                      <w:rPr>
                        <w:rStyle w:val="Hyperlink"/>
                      </w:rPr>
                      <w:t>LINK</w:t>
                    </w:r>
                  </w:hyperlink>
                </w:p>
              </w:tc>
              <w:tc>
                <w:tcPr>
                  <w:tcW w:w="1679" w:type="dxa"/>
                  <w:tcBorders>
                    <w:top w:val="nil"/>
                    <w:left w:val="single" w:sz="4" w:space="0" w:color="D0CECE" w:themeColor="background2" w:themeShade="E6"/>
                    <w:bottom w:val="nil"/>
                    <w:right w:val="single" w:sz="4" w:space="0" w:color="D0CECE" w:themeColor="background2" w:themeShade="E6"/>
                  </w:tcBorders>
                </w:tcPr>
                <w:p w14:paraId="41F74DFA" w14:textId="32EBF192" w:rsidR="00351337" w:rsidRDefault="00351337" w:rsidP="00351337">
                  <w:pPr>
                    <w:jc w:val="center"/>
                  </w:pPr>
                  <w:hyperlink r:id="rId108" w:history="1">
                    <w:r w:rsidRPr="00842988">
                      <w:rPr>
                        <w:rStyle w:val="Hyperlink"/>
                      </w:rPr>
                      <w:t>LINK</w:t>
                    </w:r>
                  </w:hyperlink>
                </w:p>
              </w:tc>
            </w:tr>
            <w:tr w:rsidR="00351337" w14:paraId="318255CF" w14:textId="77777777" w:rsidTr="00B309C7">
              <w:trPr>
                <w:trHeight w:val="260"/>
                <w:jc w:val="center"/>
              </w:trPr>
              <w:tc>
                <w:tcPr>
                  <w:tcW w:w="2578" w:type="dxa"/>
                  <w:tcBorders>
                    <w:top w:val="nil"/>
                  </w:tcBorders>
                </w:tcPr>
                <w:p w14:paraId="67E4A924" w14:textId="36EB1C2E" w:rsidR="00351337" w:rsidRPr="00B309C7" w:rsidRDefault="00351337" w:rsidP="00351337">
                  <w:pPr>
                    <w:spacing w:after="120"/>
                    <w:ind w:left="1125"/>
                    <w:rPr>
                      <w:i/>
                      <w:iCs/>
                    </w:rPr>
                  </w:pPr>
                  <w:r w:rsidRPr="00B309C7">
                    <w:rPr>
                      <w:i/>
                      <w:iCs/>
                    </w:rPr>
                    <w:t>FinCEN</w:t>
                  </w:r>
                </w:p>
              </w:tc>
              <w:tc>
                <w:tcPr>
                  <w:tcW w:w="1637" w:type="dxa"/>
                  <w:tcBorders>
                    <w:top w:val="nil"/>
                  </w:tcBorders>
                </w:tcPr>
                <w:p w14:paraId="4A39B05B" w14:textId="23BB0D46" w:rsidR="00351337" w:rsidRDefault="00351337" w:rsidP="00351337">
                  <w:pPr>
                    <w:jc w:val="center"/>
                  </w:pPr>
                  <w:r>
                    <w:t>n/a</w:t>
                  </w:r>
                </w:p>
              </w:tc>
              <w:tc>
                <w:tcPr>
                  <w:tcW w:w="1638" w:type="dxa"/>
                  <w:tcBorders>
                    <w:top w:val="nil"/>
                  </w:tcBorders>
                </w:tcPr>
                <w:p w14:paraId="222F6A94" w14:textId="3070C24D" w:rsidR="00351337" w:rsidRDefault="00351337" w:rsidP="00351337">
                  <w:pPr>
                    <w:jc w:val="center"/>
                  </w:pPr>
                  <w:hyperlink r:id="rId109" w:history="1">
                    <w:r w:rsidRPr="00EF11FE">
                      <w:rPr>
                        <w:rStyle w:val="Hyperlink"/>
                      </w:rPr>
                      <w:t>LINK</w:t>
                    </w:r>
                  </w:hyperlink>
                </w:p>
              </w:tc>
              <w:tc>
                <w:tcPr>
                  <w:tcW w:w="1597" w:type="dxa"/>
                  <w:tcBorders>
                    <w:top w:val="nil"/>
                  </w:tcBorders>
                </w:tcPr>
                <w:p w14:paraId="1018693D" w14:textId="0DC62827" w:rsidR="00351337" w:rsidRDefault="00351337" w:rsidP="00351337">
                  <w:pPr>
                    <w:jc w:val="center"/>
                  </w:pPr>
                  <w:hyperlink r:id="rId110" w:history="1">
                    <w:r w:rsidRPr="00343575">
                      <w:rPr>
                        <w:rStyle w:val="Hyperlink"/>
                      </w:rPr>
                      <w:t>LINK</w:t>
                    </w:r>
                  </w:hyperlink>
                </w:p>
              </w:tc>
              <w:tc>
                <w:tcPr>
                  <w:tcW w:w="1679" w:type="dxa"/>
                  <w:tcBorders>
                    <w:top w:val="nil"/>
                  </w:tcBorders>
                </w:tcPr>
                <w:p w14:paraId="138A08DA" w14:textId="4D81661C" w:rsidR="00351337" w:rsidRDefault="00351337" w:rsidP="00351337">
                  <w:pPr>
                    <w:jc w:val="center"/>
                  </w:pPr>
                  <w:hyperlink r:id="rId111" w:history="1">
                    <w:r w:rsidRPr="00842988">
                      <w:rPr>
                        <w:rStyle w:val="Hyperlink"/>
                      </w:rPr>
                      <w:t>LINK</w:t>
                    </w:r>
                  </w:hyperlink>
                </w:p>
              </w:tc>
            </w:tr>
            <w:tr w:rsidR="00351337" w14:paraId="6A69BDE3" w14:textId="0231E613" w:rsidTr="006147A0">
              <w:trPr>
                <w:jc w:val="center"/>
              </w:trPr>
              <w:tc>
                <w:tcPr>
                  <w:tcW w:w="2578" w:type="dxa"/>
                </w:tcPr>
                <w:p w14:paraId="611E5D05" w14:textId="41D4A1D0" w:rsidR="00351337" w:rsidRDefault="00351337" w:rsidP="00351337">
                  <w:pPr>
                    <w:spacing w:before="120" w:after="120"/>
                    <w:jc w:val="center"/>
                  </w:pPr>
                  <w:r>
                    <w:t>Federal Reserve System</w:t>
                  </w:r>
                </w:p>
              </w:tc>
              <w:tc>
                <w:tcPr>
                  <w:tcW w:w="1637" w:type="dxa"/>
                </w:tcPr>
                <w:p w14:paraId="64E37EAD" w14:textId="44C642FA" w:rsidR="00351337" w:rsidRDefault="00351337" w:rsidP="00351337">
                  <w:pPr>
                    <w:spacing w:before="120" w:after="120"/>
                    <w:jc w:val="center"/>
                  </w:pPr>
                  <w:hyperlink r:id="rId112" w:history="1">
                    <w:r w:rsidRPr="00DF3B64">
                      <w:rPr>
                        <w:rStyle w:val="Hyperlink"/>
                      </w:rPr>
                      <w:t>LINK</w:t>
                    </w:r>
                  </w:hyperlink>
                </w:p>
              </w:tc>
              <w:tc>
                <w:tcPr>
                  <w:tcW w:w="1638" w:type="dxa"/>
                </w:tcPr>
                <w:p w14:paraId="067FA857" w14:textId="5FBB71E6" w:rsidR="00351337" w:rsidRDefault="00351337" w:rsidP="00351337">
                  <w:pPr>
                    <w:spacing w:before="120" w:after="120"/>
                    <w:jc w:val="center"/>
                  </w:pPr>
                  <w:hyperlink r:id="rId113" w:history="1">
                    <w:r w:rsidRPr="00DF3B64">
                      <w:rPr>
                        <w:rStyle w:val="Hyperlink"/>
                      </w:rPr>
                      <w:t>LINK</w:t>
                    </w:r>
                  </w:hyperlink>
                </w:p>
              </w:tc>
              <w:tc>
                <w:tcPr>
                  <w:tcW w:w="1597" w:type="dxa"/>
                </w:tcPr>
                <w:p w14:paraId="125ED409" w14:textId="5A7B4522" w:rsidR="00351337" w:rsidRDefault="00351337" w:rsidP="00351337">
                  <w:pPr>
                    <w:spacing w:before="120" w:after="120"/>
                    <w:jc w:val="center"/>
                  </w:pPr>
                  <w:hyperlink r:id="rId114" w:history="1">
                    <w:r w:rsidRPr="00343575">
                      <w:rPr>
                        <w:rStyle w:val="Hyperlink"/>
                      </w:rPr>
                      <w:t>LINK</w:t>
                    </w:r>
                  </w:hyperlink>
                </w:p>
              </w:tc>
              <w:tc>
                <w:tcPr>
                  <w:tcW w:w="1679" w:type="dxa"/>
                </w:tcPr>
                <w:p w14:paraId="4F540865" w14:textId="1BE129D5" w:rsidR="00351337" w:rsidRDefault="00351337" w:rsidP="00351337">
                  <w:pPr>
                    <w:spacing w:before="120" w:after="120"/>
                    <w:jc w:val="center"/>
                  </w:pPr>
                  <w:hyperlink r:id="rId115" w:history="1">
                    <w:r w:rsidRPr="00842988">
                      <w:rPr>
                        <w:rStyle w:val="Hyperlink"/>
                      </w:rPr>
                      <w:t>LINK</w:t>
                    </w:r>
                  </w:hyperlink>
                </w:p>
              </w:tc>
            </w:tr>
            <w:tr w:rsidR="00351337" w14:paraId="37CBC44A" w14:textId="65D2EBF3" w:rsidTr="006147A0">
              <w:trPr>
                <w:jc w:val="center"/>
              </w:trPr>
              <w:tc>
                <w:tcPr>
                  <w:tcW w:w="2578" w:type="dxa"/>
                </w:tcPr>
                <w:p w14:paraId="75A694B7" w14:textId="25BD82D7" w:rsidR="00351337" w:rsidRDefault="00351337" w:rsidP="00351337">
                  <w:pPr>
                    <w:spacing w:before="120" w:after="120"/>
                    <w:jc w:val="center"/>
                  </w:pPr>
                  <w:r>
                    <w:t>FHFA</w:t>
                  </w:r>
                </w:p>
              </w:tc>
              <w:tc>
                <w:tcPr>
                  <w:tcW w:w="1637" w:type="dxa"/>
                </w:tcPr>
                <w:p w14:paraId="12A415DD" w14:textId="012747CE" w:rsidR="00351337" w:rsidRDefault="00351337" w:rsidP="00351337">
                  <w:pPr>
                    <w:spacing w:before="120" w:after="120"/>
                    <w:jc w:val="center"/>
                  </w:pPr>
                  <w:hyperlink r:id="rId116" w:history="1">
                    <w:r w:rsidRPr="0024001F">
                      <w:rPr>
                        <w:rStyle w:val="Hyperlink"/>
                      </w:rPr>
                      <w:t>LINK</w:t>
                    </w:r>
                  </w:hyperlink>
                </w:p>
              </w:tc>
              <w:tc>
                <w:tcPr>
                  <w:tcW w:w="1638" w:type="dxa"/>
                </w:tcPr>
                <w:p w14:paraId="3BE7699F" w14:textId="436FF7C6" w:rsidR="00351337" w:rsidRDefault="00351337" w:rsidP="00351337">
                  <w:pPr>
                    <w:spacing w:before="120" w:after="120"/>
                    <w:jc w:val="center"/>
                  </w:pPr>
                  <w:hyperlink r:id="rId117" w:history="1">
                    <w:r w:rsidRPr="00853F4F">
                      <w:rPr>
                        <w:rStyle w:val="Hyperlink"/>
                      </w:rPr>
                      <w:t>LINK</w:t>
                    </w:r>
                  </w:hyperlink>
                </w:p>
              </w:tc>
              <w:tc>
                <w:tcPr>
                  <w:tcW w:w="1597" w:type="dxa"/>
                </w:tcPr>
                <w:p w14:paraId="2123B421" w14:textId="4DD753EE" w:rsidR="00351337" w:rsidRDefault="00351337" w:rsidP="00351337">
                  <w:pPr>
                    <w:spacing w:before="120" w:after="120"/>
                    <w:jc w:val="center"/>
                  </w:pPr>
                  <w:hyperlink r:id="rId118" w:history="1">
                    <w:r w:rsidRPr="00343575">
                      <w:rPr>
                        <w:rStyle w:val="Hyperlink"/>
                      </w:rPr>
                      <w:t>LINK</w:t>
                    </w:r>
                  </w:hyperlink>
                </w:p>
              </w:tc>
              <w:tc>
                <w:tcPr>
                  <w:tcW w:w="1679" w:type="dxa"/>
                </w:tcPr>
                <w:p w14:paraId="67B2B147" w14:textId="147C6B42" w:rsidR="00351337" w:rsidRDefault="00351337" w:rsidP="00351337">
                  <w:pPr>
                    <w:spacing w:before="120" w:after="120"/>
                    <w:jc w:val="center"/>
                  </w:pPr>
                  <w:hyperlink r:id="rId119" w:history="1">
                    <w:r w:rsidRPr="00842988">
                      <w:rPr>
                        <w:rStyle w:val="Hyperlink"/>
                      </w:rPr>
                      <w:t>LINK</w:t>
                    </w:r>
                  </w:hyperlink>
                </w:p>
              </w:tc>
            </w:tr>
            <w:tr w:rsidR="00351337" w14:paraId="4DB68505" w14:textId="4D47CF21" w:rsidTr="006147A0">
              <w:trPr>
                <w:jc w:val="center"/>
              </w:trPr>
              <w:tc>
                <w:tcPr>
                  <w:tcW w:w="2578" w:type="dxa"/>
                </w:tcPr>
                <w:p w14:paraId="1F362852" w14:textId="5EFD6D42" w:rsidR="00351337" w:rsidRDefault="00351337" w:rsidP="00351337">
                  <w:pPr>
                    <w:spacing w:before="120" w:after="120"/>
                    <w:jc w:val="center"/>
                  </w:pPr>
                  <w:r>
                    <w:t>FTC</w:t>
                  </w:r>
                </w:p>
              </w:tc>
              <w:tc>
                <w:tcPr>
                  <w:tcW w:w="1637" w:type="dxa"/>
                </w:tcPr>
                <w:p w14:paraId="7BB598AB" w14:textId="78A90276" w:rsidR="00351337" w:rsidRDefault="00351337" w:rsidP="00351337">
                  <w:pPr>
                    <w:spacing w:before="120" w:after="120"/>
                    <w:jc w:val="center"/>
                  </w:pPr>
                  <w:hyperlink r:id="rId120" w:history="1">
                    <w:r w:rsidRPr="0024001F">
                      <w:rPr>
                        <w:rStyle w:val="Hyperlink"/>
                      </w:rPr>
                      <w:t>LINK</w:t>
                    </w:r>
                  </w:hyperlink>
                </w:p>
              </w:tc>
              <w:tc>
                <w:tcPr>
                  <w:tcW w:w="1638" w:type="dxa"/>
                </w:tcPr>
                <w:p w14:paraId="00AED1E2" w14:textId="03C28913" w:rsidR="00351337" w:rsidRDefault="00351337" w:rsidP="00351337">
                  <w:pPr>
                    <w:spacing w:before="120" w:after="120"/>
                    <w:jc w:val="center"/>
                  </w:pPr>
                  <w:r>
                    <w:t>n/a</w:t>
                  </w:r>
                </w:p>
              </w:tc>
              <w:tc>
                <w:tcPr>
                  <w:tcW w:w="1597" w:type="dxa"/>
                </w:tcPr>
                <w:p w14:paraId="3D5C1B9C" w14:textId="79DD7487" w:rsidR="00351337" w:rsidRDefault="00351337" w:rsidP="00351337">
                  <w:pPr>
                    <w:spacing w:before="120" w:after="120"/>
                    <w:jc w:val="center"/>
                  </w:pPr>
                  <w:hyperlink r:id="rId121" w:history="1">
                    <w:r w:rsidRPr="00853F4F">
                      <w:rPr>
                        <w:rStyle w:val="Hyperlink"/>
                      </w:rPr>
                      <w:t>LINK</w:t>
                    </w:r>
                  </w:hyperlink>
                </w:p>
              </w:tc>
              <w:tc>
                <w:tcPr>
                  <w:tcW w:w="1679" w:type="dxa"/>
                </w:tcPr>
                <w:p w14:paraId="56E1F2C3" w14:textId="433EAA96" w:rsidR="00351337" w:rsidRDefault="00351337" w:rsidP="00351337">
                  <w:pPr>
                    <w:spacing w:before="120" w:after="120"/>
                    <w:jc w:val="center"/>
                  </w:pPr>
                  <w:hyperlink r:id="rId122" w:history="1">
                    <w:r w:rsidRPr="00842988">
                      <w:rPr>
                        <w:rStyle w:val="Hyperlink"/>
                      </w:rPr>
                      <w:t>LINK</w:t>
                    </w:r>
                  </w:hyperlink>
                </w:p>
              </w:tc>
            </w:tr>
            <w:tr w:rsidR="00351337" w14:paraId="1DDCD49C" w14:textId="352B1183" w:rsidTr="006147A0">
              <w:trPr>
                <w:jc w:val="center"/>
              </w:trPr>
              <w:tc>
                <w:tcPr>
                  <w:tcW w:w="2578" w:type="dxa"/>
                </w:tcPr>
                <w:p w14:paraId="6E19FA50" w14:textId="510EB332" w:rsidR="00351337" w:rsidRDefault="00351337" w:rsidP="00351337">
                  <w:pPr>
                    <w:spacing w:before="120" w:after="120"/>
                    <w:jc w:val="center"/>
                  </w:pPr>
                  <w:r>
                    <w:t>HUD</w:t>
                  </w:r>
                </w:p>
              </w:tc>
              <w:tc>
                <w:tcPr>
                  <w:tcW w:w="1637" w:type="dxa"/>
                </w:tcPr>
                <w:p w14:paraId="75A4D123" w14:textId="078B3A36" w:rsidR="00351337" w:rsidRDefault="00351337" w:rsidP="00351337">
                  <w:pPr>
                    <w:spacing w:before="120" w:after="120"/>
                    <w:jc w:val="center"/>
                  </w:pPr>
                  <w:hyperlink r:id="rId123" w:history="1">
                    <w:r w:rsidRPr="0024001F">
                      <w:rPr>
                        <w:rStyle w:val="Hyperlink"/>
                      </w:rPr>
                      <w:t>LINK</w:t>
                    </w:r>
                  </w:hyperlink>
                </w:p>
              </w:tc>
              <w:tc>
                <w:tcPr>
                  <w:tcW w:w="1638" w:type="dxa"/>
                </w:tcPr>
                <w:p w14:paraId="4EF81224" w14:textId="597C7C2E" w:rsidR="00351337" w:rsidRDefault="00351337" w:rsidP="00351337">
                  <w:pPr>
                    <w:spacing w:before="120" w:after="120"/>
                    <w:jc w:val="center"/>
                  </w:pPr>
                  <w:r>
                    <w:t>n/a</w:t>
                  </w:r>
                </w:p>
              </w:tc>
              <w:tc>
                <w:tcPr>
                  <w:tcW w:w="1597" w:type="dxa"/>
                </w:tcPr>
                <w:p w14:paraId="2700DC7A" w14:textId="054F8A16" w:rsidR="00351337" w:rsidRDefault="00351337" w:rsidP="00351337">
                  <w:pPr>
                    <w:spacing w:before="120" w:after="120"/>
                    <w:jc w:val="center"/>
                  </w:pPr>
                  <w:hyperlink r:id="rId124" w:history="1">
                    <w:r w:rsidRPr="00343575">
                      <w:rPr>
                        <w:rStyle w:val="Hyperlink"/>
                      </w:rPr>
                      <w:t>LINK</w:t>
                    </w:r>
                  </w:hyperlink>
                </w:p>
              </w:tc>
              <w:tc>
                <w:tcPr>
                  <w:tcW w:w="1679" w:type="dxa"/>
                </w:tcPr>
                <w:p w14:paraId="504B8CEE" w14:textId="07134DFE" w:rsidR="00351337" w:rsidRDefault="00351337" w:rsidP="00351337">
                  <w:pPr>
                    <w:spacing w:before="120" w:after="120"/>
                    <w:jc w:val="center"/>
                  </w:pPr>
                  <w:hyperlink r:id="rId125" w:history="1">
                    <w:r w:rsidRPr="00842988">
                      <w:rPr>
                        <w:rStyle w:val="Hyperlink"/>
                      </w:rPr>
                      <w:t>LINK</w:t>
                    </w:r>
                  </w:hyperlink>
                </w:p>
              </w:tc>
            </w:tr>
            <w:tr w:rsidR="00351337" w14:paraId="792DC558" w14:textId="7D6A6518" w:rsidTr="006147A0">
              <w:trPr>
                <w:jc w:val="center"/>
              </w:trPr>
              <w:tc>
                <w:tcPr>
                  <w:tcW w:w="2578" w:type="dxa"/>
                </w:tcPr>
                <w:p w14:paraId="35D75A35" w14:textId="7850AD55" w:rsidR="00351337" w:rsidRDefault="00351337" w:rsidP="00351337">
                  <w:pPr>
                    <w:spacing w:before="120" w:after="120"/>
                    <w:jc w:val="center"/>
                  </w:pPr>
                  <w:r>
                    <w:t>FCC</w:t>
                  </w:r>
                </w:p>
              </w:tc>
              <w:tc>
                <w:tcPr>
                  <w:tcW w:w="1637" w:type="dxa"/>
                </w:tcPr>
                <w:p w14:paraId="21AC7454" w14:textId="30E418B5" w:rsidR="00351337" w:rsidRDefault="00351337" w:rsidP="00351337">
                  <w:pPr>
                    <w:spacing w:before="120" w:after="120"/>
                    <w:jc w:val="center"/>
                  </w:pPr>
                  <w:r>
                    <w:t>n/a</w:t>
                  </w:r>
                </w:p>
              </w:tc>
              <w:tc>
                <w:tcPr>
                  <w:tcW w:w="1638" w:type="dxa"/>
                </w:tcPr>
                <w:p w14:paraId="6FF78285" w14:textId="12D9E222" w:rsidR="00351337" w:rsidRDefault="00351337" w:rsidP="00351337">
                  <w:pPr>
                    <w:spacing w:before="120" w:after="120"/>
                    <w:jc w:val="center"/>
                  </w:pPr>
                  <w:hyperlink r:id="rId126" w:history="1">
                    <w:r w:rsidRPr="00853F4F">
                      <w:rPr>
                        <w:rStyle w:val="Hyperlink"/>
                      </w:rPr>
                      <w:t>LINK</w:t>
                    </w:r>
                  </w:hyperlink>
                </w:p>
              </w:tc>
              <w:tc>
                <w:tcPr>
                  <w:tcW w:w="1597" w:type="dxa"/>
                </w:tcPr>
                <w:p w14:paraId="05571784" w14:textId="7708E03B" w:rsidR="00351337" w:rsidRDefault="00351337" w:rsidP="00351337">
                  <w:pPr>
                    <w:spacing w:before="120" w:after="120"/>
                    <w:jc w:val="center"/>
                  </w:pPr>
                  <w:hyperlink r:id="rId127" w:history="1">
                    <w:r w:rsidRPr="00343575">
                      <w:rPr>
                        <w:rStyle w:val="Hyperlink"/>
                      </w:rPr>
                      <w:t>LINK</w:t>
                    </w:r>
                  </w:hyperlink>
                </w:p>
              </w:tc>
              <w:tc>
                <w:tcPr>
                  <w:tcW w:w="1679" w:type="dxa"/>
                </w:tcPr>
                <w:p w14:paraId="75B5335D" w14:textId="59B59BBC" w:rsidR="00351337" w:rsidRDefault="00351337" w:rsidP="00351337">
                  <w:pPr>
                    <w:spacing w:before="120" w:after="120"/>
                    <w:jc w:val="center"/>
                  </w:pPr>
                  <w:hyperlink r:id="rId128" w:history="1">
                    <w:r w:rsidRPr="00842988">
                      <w:rPr>
                        <w:rStyle w:val="Hyperlink"/>
                      </w:rPr>
                      <w:t>LINK</w:t>
                    </w:r>
                  </w:hyperlink>
                </w:p>
              </w:tc>
            </w:tr>
          </w:tbl>
          <w:p w14:paraId="35CDEE69" w14:textId="3748BB0F" w:rsidR="00351337" w:rsidRPr="00853F4F" w:rsidRDefault="00351337" w:rsidP="00351337">
            <w:pPr>
              <w:spacing w:before="120" w:after="120"/>
              <w:rPr>
                <w:sz w:val="2"/>
                <w:szCs w:val="2"/>
              </w:rPr>
            </w:pPr>
            <w:r>
              <w:t xml:space="preserve"> </w:t>
            </w:r>
          </w:p>
        </w:tc>
      </w:tr>
    </w:tbl>
    <w:p w14:paraId="4AC5C973" w14:textId="77777777" w:rsidR="00454E33" w:rsidRDefault="00454E33"/>
    <w:sectPr w:rsidR="00454E33" w:rsidSect="00626768">
      <w:pgSz w:w="12240" w:h="3168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218"/>
    <w:multiLevelType w:val="hybridMultilevel"/>
    <w:tmpl w:val="517EE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852294"/>
    <w:multiLevelType w:val="hybridMultilevel"/>
    <w:tmpl w:val="7EFE64B6"/>
    <w:lvl w:ilvl="0" w:tplc="87AEAF8A">
      <w:start w:val="745"/>
      <w:numFmt w:val="bullet"/>
      <w:lvlText w:val=""/>
      <w:lvlJc w:val="left"/>
      <w:pPr>
        <w:ind w:left="6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F172C"/>
    <w:multiLevelType w:val="hybridMultilevel"/>
    <w:tmpl w:val="19D2E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04AF9"/>
    <w:multiLevelType w:val="hybridMultilevel"/>
    <w:tmpl w:val="7CE27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47680"/>
    <w:multiLevelType w:val="hybridMultilevel"/>
    <w:tmpl w:val="488821F8"/>
    <w:lvl w:ilvl="0" w:tplc="87AEAF8A">
      <w:start w:val="745"/>
      <w:numFmt w:val="bullet"/>
      <w:lvlText w:val=""/>
      <w:lvlJc w:val="left"/>
      <w:pPr>
        <w:ind w:left="6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14AFC"/>
    <w:multiLevelType w:val="hybridMultilevel"/>
    <w:tmpl w:val="B1185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B91E8A"/>
    <w:multiLevelType w:val="hybridMultilevel"/>
    <w:tmpl w:val="7C044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6B774D"/>
    <w:multiLevelType w:val="hybridMultilevel"/>
    <w:tmpl w:val="1C5E84EC"/>
    <w:lvl w:ilvl="0" w:tplc="AF28247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C1C6F"/>
    <w:multiLevelType w:val="hybridMultilevel"/>
    <w:tmpl w:val="29B2EE9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6CB2AEE"/>
    <w:multiLevelType w:val="hybridMultilevel"/>
    <w:tmpl w:val="4D40E6B2"/>
    <w:lvl w:ilvl="0" w:tplc="232CC222">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47CD8"/>
    <w:multiLevelType w:val="hybridMultilevel"/>
    <w:tmpl w:val="52480D46"/>
    <w:lvl w:ilvl="0" w:tplc="6DB42448">
      <w:start w:val="7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652D9"/>
    <w:multiLevelType w:val="hybridMultilevel"/>
    <w:tmpl w:val="4706374E"/>
    <w:lvl w:ilvl="0" w:tplc="87AEAF8A">
      <w:start w:val="745"/>
      <w:numFmt w:val="bullet"/>
      <w:lvlText w:val=""/>
      <w:lvlJc w:val="left"/>
      <w:pPr>
        <w:ind w:left="6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A4BCE"/>
    <w:multiLevelType w:val="hybridMultilevel"/>
    <w:tmpl w:val="A710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F7FB8"/>
    <w:multiLevelType w:val="hybridMultilevel"/>
    <w:tmpl w:val="482E8776"/>
    <w:lvl w:ilvl="0" w:tplc="E3980230">
      <w:start w:val="7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54CC9"/>
    <w:multiLevelType w:val="hybridMultilevel"/>
    <w:tmpl w:val="EBD01C64"/>
    <w:lvl w:ilvl="0" w:tplc="87AEAF8A">
      <w:start w:val="745"/>
      <w:numFmt w:val="bullet"/>
      <w:lvlText w:val=""/>
      <w:lvlJc w:val="left"/>
      <w:pPr>
        <w:ind w:left="6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052A4"/>
    <w:multiLevelType w:val="hybridMultilevel"/>
    <w:tmpl w:val="6CF09122"/>
    <w:lvl w:ilvl="0" w:tplc="B7F24096">
      <w:start w:val="44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21269"/>
    <w:multiLevelType w:val="hybridMultilevel"/>
    <w:tmpl w:val="D3FADB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B2244"/>
    <w:multiLevelType w:val="hybridMultilevel"/>
    <w:tmpl w:val="A88225F2"/>
    <w:lvl w:ilvl="0" w:tplc="89EA57E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318EE"/>
    <w:multiLevelType w:val="hybridMultilevel"/>
    <w:tmpl w:val="3A16C4AC"/>
    <w:lvl w:ilvl="0" w:tplc="232CC222">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85866"/>
    <w:multiLevelType w:val="hybridMultilevel"/>
    <w:tmpl w:val="EC0C0576"/>
    <w:lvl w:ilvl="0" w:tplc="4808C4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30426"/>
    <w:multiLevelType w:val="hybridMultilevel"/>
    <w:tmpl w:val="87A65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7637A"/>
    <w:multiLevelType w:val="hybridMultilevel"/>
    <w:tmpl w:val="1716FDAE"/>
    <w:lvl w:ilvl="0" w:tplc="87AEAF8A">
      <w:start w:val="745"/>
      <w:numFmt w:val="bullet"/>
      <w:lvlText w:val=""/>
      <w:lvlJc w:val="left"/>
      <w:pPr>
        <w:ind w:left="6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037B0"/>
    <w:multiLevelType w:val="hybridMultilevel"/>
    <w:tmpl w:val="0EAA0946"/>
    <w:lvl w:ilvl="0" w:tplc="146E1580">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01AA2"/>
    <w:multiLevelType w:val="hybridMultilevel"/>
    <w:tmpl w:val="C5B2DCC8"/>
    <w:lvl w:ilvl="0" w:tplc="232CC222">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E3849"/>
    <w:multiLevelType w:val="hybridMultilevel"/>
    <w:tmpl w:val="3354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B5ABE"/>
    <w:multiLevelType w:val="hybridMultilevel"/>
    <w:tmpl w:val="CDAAABBC"/>
    <w:lvl w:ilvl="0" w:tplc="87AEAF8A">
      <w:start w:val="745"/>
      <w:numFmt w:val="bullet"/>
      <w:lvlText w:val=""/>
      <w:lvlJc w:val="left"/>
      <w:pPr>
        <w:ind w:left="6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001F8"/>
    <w:multiLevelType w:val="hybridMultilevel"/>
    <w:tmpl w:val="65784100"/>
    <w:lvl w:ilvl="0" w:tplc="87AEAF8A">
      <w:start w:val="745"/>
      <w:numFmt w:val="bullet"/>
      <w:lvlText w:val=""/>
      <w:lvlJc w:val="left"/>
      <w:pPr>
        <w:ind w:left="600" w:hanging="360"/>
      </w:pPr>
      <w:rPr>
        <w:rFonts w:ascii="Symbol" w:eastAsiaTheme="minorHAnsi" w:hAnsi="Symbol" w:cstheme="minorBidi" w:hint="default"/>
      </w:rPr>
    </w:lvl>
    <w:lvl w:ilvl="1" w:tplc="04090003">
      <w:start w:val="1"/>
      <w:numFmt w:val="bullet"/>
      <w:lvlText w:val="o"/>
      <w:lvlJc w:val="left"/>
      <w:pPr>
        <w:ind w:left="1320" w:hanging="360"/>
      </w:pPr>
      <w:rPr>
        <w:rFonts w:ascii="Courier New" w:hAnsi="Courier New" w:cs="Courier New" w:hint="default"/>
      </w:rPr>
    </w:lvl>
    <w:lvl w:ilvl="2" w:tplc="26168F30">
      <w:numFmt w:val="bullet"/>
      <w:lvlText w:val="•"/>
      <w:lvlJc w:val="left"/>
      <w:pPr>
        <w:ind w:left="2400" w:hanging="720"/>
      </w:pPr>
      <w:rPr>
        <w:rFonts w:ascii="Calibri" w:eastAsiaTheme="minorHAnsi" w:hAnsi="Calibri" w:cs="Calibri"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7" w15:restartNumberingAfterBreak="0">
    <w:nsid w:val="4AB67491"/>
    <w:multiLevelType w:val="hybridMultilevel"/>
    <w:tmpl w:val="7138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54762"/>
    <w:multiLevelType w:val="hybridMultilevel"/>
    <w:tmpl w:val="97C04722"/>
    <w:lvl w:ilvl="0" w:tplc="232CC222">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C7813"/>
    <w:multiLevelType w:val="hybridMultilevel"/>
    <w:tmpl w:val="9C304C5C"/>
    <w:lvl w:ilvl="0" w:tplc="D55833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97F51"/>
    <w:multiLevelType w:val="hybridMultilevel"/>
    <w:tmpl w:val="5148A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6F43D1"/>
    <w:multiLevelType w:val="hybridMultilevel"/>
    <w:tmpl w:val="F6F8400E"/>
    <w:lvl w:ilvl="0" w:tplc="87AEAF8A">
      <w:start w:val="745"/>
      <w:numFmt w:val="bullet"/>
      <w:lvlText w:val=""/>
      <w:lvlJc w:val="left"/>
      <w:pPr>
        <w:ind w:left="6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51106"/>
    <w:multiLevelType w:val="hybridMultilevel"/>
    <w:tmpl w:val="7E6C932A"/>
    <w:lvl w:ilvl="0" w:tplc="89EA57E6">
      <w:numFmt w:val="bullet"/>
      <w:lvlText w:val="•"/>
      <w:lvlJc w:val="left"/>
      <w:pPr>
        <w:ind w:left="1065" w:hanging="72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3" w15:restartNumberingAfterBreak="0">
    <w:nsid w:val="5D083A4D"/>
    <w:multiLevelType w:val="hybridMultilevel"/>
    <w:tmpl w:val="AB461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C1CBF"/>
    <w:multiLevelType w:val="hybridMultilevel"/>
    <w:tmpl w:val="E7DC64C6"/>
    <w:lvl w:ilvl="0" w:tplc="0409000F">
      <w:start w:val="1"/>
      <w:numFmt w:val="decimal"/>
      <w:lvlText w:val="%1."/>
      <w:lvlJc w:val="left"/>
      <w:pPr>
        <w:ind w:left="600" w:hanging="360"/>
      </w:pPr>
      <w:rPr>
        <w:rFonts w:hint="default"/>
      </w:rPr>
    </w:lvl>
    <w:lvl w:ilvl="1" w:tplc="FFFFFFFF">
      <w:start w:val="1"/>
      <w:numFmt w:val="bullet"/>
      <w:lvlText w:val="o"/>
      <w:lvlJc w:val="left"/>
      <w:pPr>
        <w:ind w:left="1320" w:hanging="360"/>
      </w:pPr>
      <w:rPr>
        <w:rFonts w:ascii="Courier New" w:hAnsi="Courier New" w:cs="Courier New" w:hint="default"/>
      </w:rPr>
    </w:lvl>
    <w:lvl w:ilvl="2" w:tplc="FFFFFFFF">
      <w:numFmt w:val="bullet"/>
      <w:lvlText w:val="•"/>
      <w:lvlJc w:val="left"/>
      <w:pPr>
        <w:ind w:left="2400" w:hanging="720"/>
      </w:pPr>
      <w:rPr>
        <w:rFonts w:ascii="Calibri" w:eastAsiaTheme="minorHAnsi" w:hAnsi="Calibri" w:cs="Calibri" w:hint="default"/>
      </w:rPr>
    </w:lvl>
    <w:lvl w:ilvl="3" w:tplc="FFFFFFFF" w:tentative="1">
      <w:start w:val="1"/>
      <w:numFmt w:val="bullet"/>
      <w:lvlText w:val=""/>
      <w:lvlJc w:val="left"/>
      <w:pPr>
        <w:ind w:left="2760" w:hanging="360"/>
      </w:pPr>
      <w:rPr>
        <w:rFonts w:ascii="Symbol" w:hAnsi="Symbol" w:hint="default"/>
      </w:rPr>
    </w:lvl>
    <w:lvl w:ilvl="4" w:tplc="FFFFFFFF" w:tentative="1">
      <w:start w:val="1"/>
      <w:numFmt w:val="bullet"/>
      <w:lvlText w:val="o"/>
      <w:lvlJc w:val="left"/>
      <w:pPr>
        <w:ind w:left="3480" w:hanging="360"/>
      </w:pPr>
      <w:rPr>
        <w:rFonts w:ascii="Courier New" w:hAnsi="Courier New" w:cs="Courier New" w:hint="default"/>
      </w:rPr>
    </w:lvl>
    <w:lvl w:ilvl="5" w:tplc="FFFFFFFF" w:tentative="1">
      <w:start w:val="1"/>
      <w:numFmt w:val="bullet"/>
      <w:lvlText w:val=""/>
      <w:lvlJc w:val="left"/>
      <w:pPr>
        <w:ind w:left="4200" w:hanging="360"/>
      </w:pPr>
      <w:rPr>
        <w:rFonts w:ascii="Wingdings" w:hAnsi="Wingdings" w:hint="default"/>
      </w:rPr>
    </w:lvl>
    <w:lvl w:ilvl="6" w:tplc="FFFFFFFF" w:tentative="1">
      <w:start w:val="1"/>
      <w:numFmt w:val="bullet"/>
      <w:lvlText w:val=""/>
      <w:lvlJc w:val="left"/>
      <w:pPr>
        <w:ind w:left="4920" w:hanging="360"/>
      </w:pPr>
      <w:rPr>
        <w:rFonts w:ascii="Symbol" w:hAnsi="Symbol" w:hint="default"/>
      </w:rPr>
    </w:lvl>
    <w:lvl w:ilvl="7" w:tplc="FFFFFFFF" w:tentative="1">
      <w:start w:val="1"/>
      <w:numFmt w:val="bullet"/>
      <w:lvlText w:val="o"/>
      <w:lvlJc w:val="left"/>
      <w:pPr>
        <w:ind w:left="5640" w:hanging="360"/>
      </w:pPr>
      <w:rPr>
        <w:rFonts w:ascii="Courier New" w:hAnsi="Courier New" w:cs="Courier New" w:hint="default"/>
      </w:rPr>
    </w:lvl>
    <w:lvl w:ilvl="8" w:tplc="FFFFFFFF" w:tentative="1">
      <w:start w:val="1"/>
      <w:numFmt w:val="bullet"/>
      <w:lvlText w:val=""/>
      <w:lvlJc w:val="left"/>
      <w:pPr>
        <w:ind w:left="6360" w:hanging="360"/>
      </w:pPr>
      <w:rPr>
        <w:rFonts w:ascii="Wingdings" w:hAnsi="Wingdings" w:hint="default"/>
      </w:rPr>
    </w:lvl>
  </w:abstractNum>
  <w:abstractNum w:abstractNumId="35" w15:restartNumberingAfterBreak="0">
    <w:nsid w:val="6F8D3576"/>
    <w:multiLevelType w:val="hybridMultilevel"/>
    <w:tmpl w:val="5FE2ECE6"/>
    <w:lvl w:ilvl="0" w:tplc="D55833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179CC"/>
    <w:multiLevelType w:val="hybridMultilevel"/>
    <w:tmpl w:val="5DE8ECDC"/>
    <w:lvl w:ilvl="0" w:tplc="D55833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5401A"/>
    <w:multiLevelType w:val="hybridMultilevel"/>
    <w:tmpl w:val="5D560B0A"/>
    <w:lvl w:ilvl="0" w:tplc="C0728882">
      <w:numFmt w:val="bullet"/>
      <w:lvlText w:val=""/>
      <w:lvlJc w:val="left"/>
      <w:pPr>
        <w:ind w:left="720" w:hanging="360"/>
      </w:pPr>
      <w:rPr>
        <w:rFonts w:ascii="Symbol" w:eastAsiaTheme="minorHAnsi" w:hAnsi="Symbol" w:cstheme="minorBidi" w:hint="default"/>
      </w:rPr>
    </w:lvl>
    <w:lvl w:ilvl="1" w:tplc="04090011">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9E5BF7"/>
    <w:multiLevelType w:val="hybridMultilevel"/>
    <w:tmpl w:val="B244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C624B"/>
    <w:multiLevelType w:val="hybridMultilevel"/>
    <w:tmpl w:val="2B12AB76"/>
    <w:lvl w:ilvl="0" w:tplc="232CC222">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0C40E0"/>
    <w:multiLevelType w:val="hybridMultilevel"/>
    <w:tmpl w:val="25A6C74A"/>
    <w:lvl w:ilvl="0" w:tplc="6DB42448">
      <w:start w:val="7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001834">
    <w:abstractNumId w:val="38"/>
  </w:num>
  <w:num w:numId="2" w16cid:durableId="1149130793">
    <w:abstractNumId w:val="33"/>
  </w:num>
  <w:num w:numId="3" w16cid:durableId="976028922">
    <w:abstractNumId w:val="8"/>
  </w:num>
  <w:num w:numId="4" w16cid:durableId="1775905008">
    <w:abstractNumId w:val="27"/>
  </w:num>
  <w:num w:numId="5" w16cid:durableId="540018231">
    <w:abstractNumId w:val="2"/>
  </w:num>
  <w:num w:numId="6" w16cid:durableId="1550336552">
    <w:abstractNumId w:val="24"/>
  </w:num>
  <w:num w:numId="7" w16cid:durableId="415906274">
    <w:abstractNumId w:val="26"/>
  </w:num>
  <w:num w:numId="8" w16cid:durableId="2136563489">
    <w:abstractNumId w:val="10"/>
  </w:num>
  <w:num w:numId="9" w16cid:durableId="1418360759">
    <w:abstractNumId w:val="13"/>
  </w:num>
  <w:num w:numId="10" w16cid:durableId="179634888">
    <w:abstractNumId w:val="0"/>
  </w:num>
  <w:num w:numId="11" w16cid:durableId="1050036283">
    <w:abstractNumId w:val="6"/>
  </w:num>
  <w:num w:numId="12" w16cid:durableId="1949198979">
    <w:abstractNumId w:val="5"/>
  </w:num>
  <w:num w:numId="13" w16cid:durableId="1186990367">
    <w:abstractNumId w:val="15"/>
  </w:num>
  <w:num w:numId="14" w16cid:durableId="1515609707">
    <w:abstractNumId w:val="40"/>
  </w:num>
  <w:num w:numId="15" w16cid:durableId="1026714894">
    <w:abstractNumId w:val="1"/>
  </w:num>
  <w:num w:numId="16" w16cid:durableId="160513012">
    <w:abstractNumId w:val="21"/>
  </w:num>
  <w:num w:numId="17" w16cid:durableId="114257659">
    <w:abstractNumId w:val="34"/>
  </w:num>
  <w:num w:numId="18" w16cid:durableId="2095665605">
    <w:abstractNumId w:val="12"/>
  </w:num>
  <w:num w:numId="19" w16cid:durableId="1996571053">
    <w:abstractNumId w:val="7"/>
  </w:num>
  <w:num w:numId="20" w16cid:durableId="1572348139">
    <w:abstractNumId w:val="22"/>
  </w:num>
  <w:num w:numId="21" w16cid:durableId="1324771086">
    <w:abstractNumId w:val="25"/>
  </w:num>
  <w:num w:numId="22" w16cid:durableId="1509296866">
    <w:abstractNumId w:val="3"/>
  </w:num>
  <w:num w:numId="23" w16cid:durableId="662052639">
    <w:abstractNumId w:val="11"/>
  </w:num>
  <w:num w:numId="24" w16cid:durableId="641078463">
    <w:abstractNumId w:val="30"/>
  </w:num>
  <w:num w:numId="25" w16cid:durableId="2027754089">
    <w:abstractNumId w:val="4"/>
  </w:num>
  <w:num w:numId="26" w16cid:durableId="1392119980">
    <w:abstractNumId w:val="31"/>
  </w:num>
  <w:num w:numId="27" w16cid:durableId="1662467503">
    <w:abstractNumId w:val="14"/>
  </w:num>
  <w:num w:numId="28" w16cid:durableId="1329555435">
    <w:abstractNumId w:val="36"/>
  </w:num>
  <w:num w:numId="29" w16cid:durableId="1142498448">
    <w:abstractNumId w:val="29"/>
  </w:num>
  <w:num w:numId="30" w16cid:durableId="1342970463">
    <w:abstractNumId w:val="35"/>
  </w:num>
  <w:num w:numId="31" w16cid:durableId="1323268997">
    <w:abstractNumId w:val="37"/>
  </w:num>
  <w:num w:numId="32" w16cid:durableId="456290516">
    <w:abstractNumId w:val="20"/>
  </w:num>
  <w:num w:numId="33" w16cid:durableId="929391272">
    <w:abstractNumId w:val="39"/>
  </w:num>
  <w:num w:numId="34" w16cid:durableId="1661540938">
    <w:abstractNumId w:val="18"/>
  </w:num>
  <w:num w:numId="35" w16cid:durableId="1212422637">
    <w:abstractNumId w:val="28"/>
  </w:num>
  <w:num w:numId="36" w16cid:durableId="1222906762">
    <w:abstractNumId w:val="23"/>
  </w:num>
  <w:num w:numId="37" w16cid:durableId="1721902829">
    <w:abstractNumId w:val="9"/>
  </w:num>
  <w:num w:numId="38" w16cid:durableId="1475412659">
    <w:abstractNumId w:val="17"/>
  </w:num>
  <w:num w:numId="39" w16cid:durableId="1466006141">
    <w:abstractNumId w:val="32"/>
  </w:num>
  <w:num w:numId="40" w16cid:durableId="700017041">
    <w:abstractNumId w:val="16"/>
  </w:num>
  <w:num w:numId="41" w16cid:durableId="20750072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7B"/>
    <w:rsid w:val="00021B3C"/>
    <w:rsid w:val="000274E8"/>
    <w:rsid w:val="00035493"/>
    <w:rsid w:val="00044B1E"/>
    <w:rsid w:val="000510D6"/>
    <w:rsid w:val="00057E2C"/>
    <w:rsid w:val="00081184"/>
    <w:rsid w:val="0009338C"/>
    <w:rsid w:val="0009745C"/>
    <w:rsid w:val="000A2EDD"/>
    <w:rsid w:val="000A73EF"/>
    <w:rsid w:val="000B0582"/>
    <w:rsid w:val="000C66D0"/>
    <w:rsid w:val="000C6E26"/>
    <w:rsid w:val="000D24FE"/>
    <w:rsid w:val="000D2D64"/>
    <w:rsid w:val="000D480F"/>
    <w:rsid w:val="000D5D28"/>
    <w:rsid w:val="000E3B4A"/>
    <w:rsid w:val="000E48C7"/>
    <w:rsid w:val="000E6BE4"/>
    <w:rsid w:val="000F7F0E"/>
    <w:rsid w:val="00100C1C"/>
    <w:rsid w:val="00110418"/>
    <w:rsid w:val="0011439F"/>
    <w:rsid w:val="00123413"/>
    <w:rsid w:val="00134EDE"/>
    <w:rsid w:val="001365A3"/>
    <w:rsid w:val="00140752"/>
    <w:rsid w:val="00141954"/>
    <w:rsid w:val="0016342C"/>
    <w:rsid w:val="00170AF0"/>
    <w:rsid w:val="00181247"/>
    <w:rsid w:val="0019148B"/>
    <w:rsid w:val="001B0790"/>
    <w:rsid w:val="001B2BDA"/>
    <w:rsid w:val="001B4B6E"/>
    <w:rsid w:val="001B7648"/>
    <w:rsid w:val="001C6D70"/>
    <w:rsid w:val="001D0EA7"/>
    <w:rsid w:val="001E4EC1"/>
    <w:rsid w:val="001E53C6"/>
    <w:rsid w:val="001E6F12"/>
    <w:rsid w:val="002037DE"/>
    <w:rsid w:val="0021243F"/>
    <w:rsid w:val="00230D80"/>
    <w:rsid w:val="00234039"/>
    <w:rsid w:val="00234D89"/>
    <w:rsid w:val="00236D2A"/>
    <w:rsid w:val="0024001F"/>
    <w:rsid w:val="0024332D"/>
    <w:rsid w:val="002541C9"/>
    <w:rsid w:val="002761B0"/>
    <w:rsid w:val="00276373"/>
    <w:rsid w:val="0029696A"/>
    <w:rsid w:val="002B3F38"/>
    <w:rsid w:val="002B45CC"/>
    <w:rsid w:val="002B6F0D"/>
    <w:rsid w:val="002D6934"/>
    <w:rsid w:val="002D7FBB"/>
    <w:rsid w:val="002F0348"/>
    <w:rsid w:val="002F4F69"/>
    <w:rsid w:val="002F790E"/>
    <w:rsid w:val="00314A7F"/>
    <w:rsid w:val="00314D74"/>
    <w:rsid w:val="00315602"/>
    <w:rsid w:val="003163EA"/>
    <w:rsid w:val="00343575"/>
    <w:rsid w:val="00351337"/>
    <w:rsid w:val="0035448A"/>
    <w:rsid w:val="00361D61"/>
    <w:rsid w:val="00367254"/>
    <w:rsid w:val="00372DDD"/>
    <w:rsid w:val="0038132B"/>
    <w:rsid w:val="003B18F8"/>
    <w:rsid w:val="003C1B13"/>
    <w:rsid w:val="003E415B"/>
    <w:rsid w:val="003E5A06"/>
    <w:rsid w:val="003F20C4"/>
    <w:rsid w:val="00401CE6"/>
    <w:rsid w:val="00411389"/>
    <w:rsid w:val="004241F4"/>
    <w:rsid w:val="00427A95"/>
    <w:rsid w:val="004334C7"/>
    <w:rsid w:val="0043532E"/>
    <w:rsid w:val="00450744"/>
    <w:rsid w:val="0045316F"/>
    <w:rsid w:val="00454A2D"/>
    <w:rsid w:val="00454E33"/>
    <w:rsid w:val="00454E89"/>
    <w:rsid w:val="0046138B"/>
    <w:rsid w:val="0046212F"/>
    <w:rsid w:val="004643AE"/>
    <w:rsid w:val="00466746"/>
    <w:rsid w:val="00472AC2"/>
    <w:rsid w:val="0047383B"/>
    <w:rsid w:val="00493A04"/>
    <w:rsid w:val="004A08BD"/>
    <w:rsid w:val="004A10A9"/>
    <w:rsid w:val="004C3A1A"/>
    <w:rsid w:val="004C6CF9"/>
    <w:rsid w:val="004C7309"/>
    <w:rsid w:val="004D129F"/>
    <w:rsid w:val="004D2E39"/>
    <w:rsid w:val="004D36A9"/>
    <w:rsid w:val="004E18D1"/>
    <w:rsid w:val="004E4010"/>
    <w:rsid w:val="004E4263"/>
    <w:rsid w:val="004E7AD3"/>
    <w:rsid w:val="004F5693"/>
    <w:rsid w:val="004F7262"/>
    <w:rsid w:val="005026B3"/>
    <w:rsid w:val="005033A9"/>
    <w:rsid w:val="005201A4"/>
    <w:rsid w:val="00526EC2"/>
    <w:rsid w:val="00532EA5"/>
    <w:rsid w:val="00541588"/>
    <w:rsid w:val="0055169E"/>
    <w:rsid w:val="00554CC4"/>
    <w:rsid w:val="0056769A"/>
    <w:rsid w:val="00570108"/>
    <w:rsid w:val="005717DB"/>
    <w:rsid w:val="005925E1"/>
    <w:rsid w:val="005A091B"/>
    <w:rsid w:val="005A3EE5"/>
    <w:rsid w:val="005B1605"/>
    <w:rsid w:val="005D4A3E"/>
    <w:rsid w:val="005E5CA3"/>
    <w:rsid w:val="005F0AC2"/>
    <w:rsid w:val="005F18F0"/>
    <w:rsid w:val="006045C6"/>
    <w:rsid w:val="00607A57"/>
    <w:rsid w:val="006147A0"/>
    <w:rsid w:val="00614B1F"/>
    <w:rsid w:val="00626768"/>
    <w:rsid w:val="00640458"/>
    <w:rsid w:val="006557C6"/>
    <w:rsid w:val="0066207B"/>
    <w:rsid w:val="0066593F"/>
    <w:rsid w:val="00671523"/>
    <w:rsid w:val="006906CD"/>
    <w:rsid w:val="006964FC"/>
    <w:rsid w:val="006A5D2B"/>
    <w:rsid w:val="006B0120"/>
    <w:rsid w:val="006C7DBE"/>
    <w:rsid w:val="006E51F5"/>
    <w:rsid w:val="006E52C0"/>
    <w:rsid w:val="006F31B5"/>
    <w:rsid w:val="006F32B5"/>
    <w:rsid w:val="00705EA6"/>
    <w:rsid w:val="007179B9"/>
    <w:rsid w:val="00720025"/>
    <w:rsid w:val="00723A3B"/>
    <w:rsid w:val="00730BB4"/>
    <w:rsid w:val="007317CE"/>
    <w:rsid w:val="00741F26"/>
    <w:rsid w:val="007445A9"/>
    <w:rsid w:val="00753DA4"/>
    <w:rsid w:val="00757FA7"/>
    <w:rsid w:val="00762869"/>
    <w:rsid w:val="00766443"/>
    <w:rsid w:val="0078010E"/>
    <w:rsid w:val="007838A8"/>
    <w:rsid w:val="00793FC3"/>
    <w:rsid w:val="00795D71"/>
    <w:rsid w:val="007A1314"/>
    <w:rsid w:val="007A2B57"/>
    <w:rsid w:val="007A2D92"/>
    <w:rsid w:val="007A4232"/>
    <w:rsid w:val="007A7BF0"/>
    <w:rsid w:val="007B3460"/>
    <w:rsid w:val="007D3B52"/>
    <w:rsid w:val="007D461A"/>
    <w:rsid w:val="007D61A8"/>
    <w:rsid w:val="007F2CF9"/>
    <w:rsid w:val="0080140B"/>
    <w:rsid w:val="00805BB7"/>
    <w:rsid w:val="008078CB"/>
    <w:rsid w:val="008149DA"/>
    <w:rsid w:val="00817B27"/>
    <w:rsid w:val="00831290"/>
    <w:rsid w:val="00834B14"/>
    <w:rsid w:val="00842988"/>
    <w:rsid w:val="00843484"/>
    <w:rsid w:val="008457D5"/>
    <w:rsid w:val="00851C93"/>
    <w:rsid w:val="00853F4F"/>
    <w:rsid w:val="00883C08"/>
    <w:rsid w:val="00884D07"/>
    <w:rsid w:val="008E15F3"/>
    <w:rsid w:val="008F2262"/>
    <w:rsid w:val="008F45BD"/>
    <w:rsid w:val="00912D09"/>
    <w:rsid w:val="00922C82"/>
    <w:rsid w:val="00931534"/>
    <w:rsid w:val="00941780"/>
    <w:rsid w:val="00944D92"/>
    <w:rsid w:val="00961E99"/>
    <w:rsid w:val="00962307"/>
    <w:rsid w:val="00964F4C"/>
    <w:rsid w:val="00973B74"/>
    <w:rsid w:val="009864A6"/>
    <w:rsid w:val="009A5739"/>
    <w:rsid w:val="009A76CB"/>
    <w:rsid w:val="009C5269"/>
    <w:rsid w:val="009D18A7"/>
    <w:rsid w:val="009D261D"/>
    <w:rsid w:val="009D4523"/>
    <w:rsid w:val="00A01298"/>
    <w:rsid w:val="00A05F12"/>
    <w:rsid w:val="00A0774F"/>
    <w:rsid w:val="00A174A4"/>
    <w:rsid w:val="00A22B21"/>
    <w:rsid w:val="00A2717B"/>
    <w:rsid w:val="00A30F80"/>
    <w:rsid w:val="00A343B2"/>
    <w:rsid w:val="00A36A5E"/>
    <w:rsid w:val="00A4004D"/>
    <w:rsid w:val="00A42D35"/>
    <w:rsid w:val="00A4322B"/>
    <w:rsid w:val="00A45CE7"/>
    <w:rsid w:val="00A5204F"/>
    <w:rsid w:val="00A5274E"/>
    <w:rsid w:val="00A54261"/>
    <w:rsid w:val="00A70583"/>
    <w:rsid w:val="00A71CFF"/>
    <w:rsid w:val="00A77AB9"/>
    <w:rsid w:val="00A817F9"/>
    <w:rsid w:val="00A83BB6"/>
    <w:rsid w:val="00A84957"/>
    <w:rsid w:val="00AA1D64"/>
    <w:rsid w:val="00AA38D5"/>
    <w:rsid w:val="00AA42CB"/>
    <w:rsid w:val="00AB0A36"/>
    <w:rsid w:val="00AC18B0"/>
    <w:rsid w:val="00AE5609"/>
    <w:rsid w:val="00AE59F9"/>
    <w:rsid w:val="00AE75C6"/>
    <w:rsid w:val="00B03EB9"/>
    <w:rsid w:val="00B1732E"/>
    <w:rsid w:val="00B303C1"/>
    <w:rsid w:val="00B309C7"/>
    <w:rsid w:val="00B46D56"/>
    <w:rsid w:val="00B50F40"/>
    <w:rsid w:val="00B535D8"/>
    <w:rsid w:val="00B5430E"/>
    <w:rsid w:val="00B61E07"/>
    <w:rsid w:val="00B643E8"/>
    <w:rsid w:val="00B82366"/>
    <w:rsid w:val="00B845B6"/>
    <w:rsid w:val="00B93B3A"/>
    <w:rsid w:val="00BB0DDC"/>
    <w:rsid w:val="00BC0C72"/>
    <w:rsid w:val="00BC5713"/>
    <w:rsid w:val="00BD053F"/>
    <w:rsid w:val="00BD29EE"/>
    <w:rsid w:val="00BD4D16"/>
    <w:rsid w:val="00BD665F"/>
    <w:rsid w:val="00BE136E"/>
    <w:rsid w:val="00BE1DA0"/>
    <w:rsid w:val="00BE24E6"/>
    <w:rsid w:val="00BE7E7B"/>
    <w:rsid w:val="00BF79F3"/>
    <w:rsid w:val="00C0581E"/>
    <w:rsid w:val="00C1058D"/>
    <w:rsid w:val="00C11B42"/>
    <w:rsid w:val="00C132B8"/>
    <w:rsid w:val="00C162B9"/>
    <w:rsid w:val="00C20E46"/>
    <w:rsid w:val="00C2134C"/>
    <w:rsid w:val="00C24DF1"/>
    <w:rsid w:val="00C45ED5"/>
    <w:rsid w:val="00C65560"/>
    <w:rsid w:val="00C67AD0"/>
    <w:rsid w:val="00C85871"/>
    <w:rsid w:val="00C868B9"/>
    <w:rsid w:val="00CB01F9"/>
    <w:rsid w:val="00CB2B91"/>
    <w:rsid w:val="00CC275B"/>
    <w:rsid w:val="00CC79F0"/>
    <w:rsid w:val="00CD4312"/>
    <w:rsid w:val="00CD539F"/>
    <w:rsid w:val="00CD57DA"/>
    <w:rsid w:val="00CD5CC3"/>
    <w:rsid w:val="00CD6F65"/>
    <w:rsid w:val="00CE5462"/>
    <w:rsid w:val="00CF6F48"/>
    <w:rsid w:val="00D0122C"/>
    <w:rsid w:val="00D02829"/>
    <w:rsid w:val="00D036E7"/>
    <w:rsid w:val="00D23465"/>
    <w:rsid w:val="00D24615"/>
    <w:rsid w:val="00D26635"/>
    <w:rsid w:val="00D32910"/>
    <w:rsid w:val="00D3408A"/>
    <w:rsid w:val="00D57020"/>
    <w:rsid w:val="00D616BB"/>
    <w:rsid w:val="00D67D96"/>
    <w:rsid w:val="00D92CE7"/>
    <w:rsid w:val="00D93719"/>
    <w:rsid w:val="00DA086E"/>
    <w:rsid w:val="00DA6B5E"/>
    <w:rsid w:val="00DA6F39"/>
    <w:rsid w:val="00DC50EC"/>
    <w:rsid w:val="00DD0BA5"/>
    <w:rsid w:val="00DE749D"/>
    <w:rsid w:val="00DF3B64"/>
    <w:rsid w:val="00E202A5"/>
    <w:rsid w:val="00E25BDC"/>
    <w:rsid w:val="00E27CAB"/>
    <w:rsid w:val="00E43371"/>
    <w:rsid w:val="00E527F6"/>
    <w:rsid w:val="00E545F6"/>
    <w:rsid w:val="00E57EEE"/>
    <w:rsid w:val="00E6051A"/>
    <w:rsid w:val="00E6090A"/>
    <w:rsid w:val="00E7467A"/>
    <w:rsid w:val="00E77FB6"/>
    <w:rsid w:val="00E90A72"/>
    <w:rsid w:val="00E923E1"/>
    <w:rsid w:val="00E9383A"/>
    <w:rsid w:val="00E95411"/>
    <w:rsid w:val="00EA50D0"/>
    <w:rsid w:val="00EB44CA"/>
    <w:rsid w:val="00EC5FB4"/>
    <w:rsid w:val="00ED080D"/>
    <w:rsid w:val="00EE789D"/>
    <w:rsid w:val="00EF11FE"/>
    <w:rsid w:val="00F010C2"/>
    <w:rsid w:val="00F04564"/>
    <w:rsid w:val="00F472B8"/>
    <w:rsid w:val="00F61A34"/>
    <w:rsid w:val="00F67E7B"/>
    <w:rsid w:val="00FA4BBB"/>
    <w:rsid w:val="00FB22A7"/>
    <w:rsid w:val="00FB39A8"/>
    <w:rsid w:val="00FD0C9B"/>
    <w:rsid w:val="00FD5C56"/>
    <w:rsid w:val="00FF5434"/>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A254"/>
  <w15:chartTrackingRefBased/>
  <w15:docId w15:val="{1EC32C34-35CF-4C1E-A5D3-5C720C8F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3FC3"/>
    <w:rPr>
      <w:color w:val="0563C1" w:themeColor="hyperlink"/>
      <w:u w:val="single"/>
    </w:rPr>
  </w:style>
  <w:style w:type="character" w:styleId="UnresolvedMention">
    <w:name w:val="Unresolved Mention"/>
    <w:basedOn w:val="DefaultParagraphFont"/>
    <w:uiPriority w:val="99"/>
    <w:semiHidden/>
    <w:unhideWhenUsed/>
    <w:rsid w:val="00793FC3"/>
    <w:rPr>
      <w:color w:val="605E5C"/>
      <w:shd w:val="clear" w:color="auto" w:fill="E1DFDD"/>
    </w:rPr>
  </w:style>
  <w:style w:type="paragraph" w:styleId="ListParagraph">
    <w:name w:val="List Paragraph"/>
    <w:basedOn w:val="Normal"/>
    <w:uiPriority w:val="34"/>
    <w:qFormat/>
    <w:rsid w:val="00831290"/>
    <w:pPr>
      <w:ind w:left="720"/>
      <w:contextualSpacing/>
    </w:pPr>
  </w:style>
  <w:style w:type="character" w:styleId="CommentReference">
    <w:name w:val="annotation reference"/>
    <w:basedOn w:val="DefaultParagraphFont"/>
    <w:uiPriority w:val="99"/>
    <w:semiHidden/>
    <w:unhideWhenUsed/>
    <w:rsid w:val="00B535D8"/>
    <w:rPr>
      <w:sz w:val="16"/>
      <w:szCs w:val="16"/>
    </w:rPr>
  </w:style>
  <w:style w:type="paragraph" w:styleId="CommentText">
    <w:name w:val="annotation text"/>
    <w:basedOn w:val="Normal"/>
    <w:link w:val="CommentTextChar"/>
    <w:uiPriority w:val="99"/>
    <w:unhideWhenUsed/>
    <w:rsid w:val="00B535D8"/>
    <w:pPr>
      <w:spacing w:line="240" w:lineRule="auto"/>
    </w:pPr>
    <w:rPr>
      <w:sz w:val="20"/>
      <w:szCs w:val="20"/>
    </w:rPr>
  </w:style>
  <w:style w:type="character" w:customStyle="1" w:styleId="CommentTextChar">
    <w:name w:val="Comment Text Char"/>
    <w:basedOn w:val="DefaultParagraphFont"/>
    <w:link w:val="CommentText"/>
    <w:uiPriority w:val="99"/>
    <w:rsid w:val="00B535D8"/>
    <w:rPr>
      <w:sz w:val="20"/>
      <w:szCs w:val="20"/>
    </w:rPr>
  </w:style>
  <w:style w:type="paragraph" w:styleId="CommentSubject">
    <w:name w:val="annotation subject"/>
    <w:basedOn w:val="CommentText"/>
    <w:next w:val="CommentText"/>
    <w:link w:val="CommentSubjectChar"/>
    <w:uiPriority w:val="99"/>
    <w:semiHidden/>
    <w:unhideWhenUsed/>
    <w:rsid w:val="00B535D8"/>
    <w:rPr>
      <w:b/>
      <w:bCs/>
    </w:rPr>
  </w:style>
  <w:style w:type="character" w:customStyle="1" w:styleId="CommentSubjectChar">
    <w:name w:val="Comment Subject Char"/>
    <w:basedOn w:val="CommentTextChar"/>
    <w:link w:val="CommentSubject"/>
    <w:uiPriority w:val="99"/>
    <w:semiHidden/>
    <w:rsid w:val="00B535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06894">
      <w:bodyDiv w:val="1"/>
      <w:marLeft w:val="0"/>
      <w:marRight w:val="0"/>
      <w:marTop w:val="0"/>
      <w:marBottom w:val="0"/>
      <w:divBdr>
        <w:top w:val="none" w:sz="0" w:space="0" w:color="auto"/>
        <w:left w:val="none" w:sz="0" w:space="0" w:color="auto"/>
        <w:bottom w:val="none" w:sz="0" w:space="0" w:color="auto"/>
        <w:right w:val="none" w:sz="0" w:space="0" w:color="auto"/>
      </w:divBdr>
    </w:div>
    <w:div w:id="891386313">
      <w:bodyDiv w:val="1"/>
      <w:marLeft w:val="0"/>
      <w:marRight w:val="0"/>
      <w:marTop w:val="0"/>
      <w:marBottom w:val="0"/>
      <w:divBdr>
        <w:top w:val="none" w:sz="0" w:space="0" w:color="auto"/>
        <w:left w:val="none" w:sz="0" w:space="0" w:color="auto"/>
        <w:bottom w:val="none" w:sz="0" w:space="0" w:color="auto"/>
        <w:right w:val="none" w:sz="0" w:space="0" w:color="auto"/>
      </w:divBdr>
    </w:div>
    <w:div w:id="1021199848">
      <w:bodyDiv w:val="1"/>
      <w:marLeft w:val="0"/>
      <w:marRight w:val="0"/>
      <w:marTop w:val="0"/>
      <w:marBottom w:val="0"/>
      <w:divBdr>
        <w:top w:val="none" w:sz="0" w:space="0" w:color="auto"/>
        <w:left w:val="none" w:sz="0" w:space="0" w:color="auto"/>
        <w:bottom w:val="none" w:sz="0" w:space="0" w:color="auto"/>
        <w:right w:val="none" w:sz="0" w:space="0" w:color="auto"/>
      </w:divBdr>
    </w:div>
    <w:div w:id="1298947469">
      <w:bodyDiv w:val="1"/>
      <w:marLeft w:val="0"/>
      <w:marRight w:val="0"/>
      <w:marTop w:val="0"/>
      <w:marBottom w:val="0"/>
      <w:divBdr>
        <w:top w:val="none" w:sz="0" w:space="0" w:color="auto"/>
        <w:left w:val="none" w:sz="0" w:space="0" w:color="auto"/>
        <w:bottom w:val="none" w:sz="0" w:space="0" w:color="auto"/>
        <w:right w:val="none" w:sz="0" w:space="0" w:color="auto"/>
      </w:divBdr>
    </w:div>
    <w:div w:id="1488857738">
      <w:bodyDiv w:val="1"/>
      <w:marLeft w:val="0"/>
      <w:marRight w:val="0"/>
      <w:marTop w:val="0"/>
      <w:marBottom w:val="0"/>
      <w:divBdr>
        <w:top w:val="none" w:sz="0" w:space="0" w:color="auto"/>
        <w:left w:val="none" w:sz="0" w:space="0" w:color="auto"/>
        <w:bottom w:val="none" w:sz="0" w:space="0" w:color="auto"/>
        <w:right w:val="none" w:sz="0" w:space="0" w:color="auto"/>
      </w:divBdr>
    </w:div>
    <w:div w:id="1590115195">
      <w:bodyDiv w:val="1"/>
      <w:marLeft w:val="0"/>
      <w:marRight w:val="0"/>
      <w:marTop w:val="0"/>
      <w:marBottom w:val="0"/>
      <w:divBdr>
        <w:top w:val="none" w:sz="0" w:space="0" w:color="auto"/>
        <w:left w:val="none" w:sz="0" w:space="0" w:color="auto"/>
        <w:bottom w:val="none" w:sz="0" w:space="0" w:color="auto"/>
        <w:right w:val="none" w:sz="0" w:space="0" w:color="auto"/>
      </w:divBdr>
    </w:div>
    <w:div w:id="1610576623">
      <w:bodyDiv w:val="1"/>
      <w:marLeft w:val="0"/>
      <w:marRight w:val="0"/>
      <w:marTop w:val="0"/>
      <w:marBottom w:val="0"/>
      <w:divBdr>
        <w:top w:val="none" w:sz="0" w:space="0" w:color="auto"/>
        <w:left w:val="none" w:sz="0" w:space="0" w:color="auto"/>
        <w:bottom w:val="none" w:sz="0" w:space="0" w:color="auto"/>
        <w:right w:val="none" w:sz="0" w:space="0" w:color="auto"/>
      </w:divBdr>
    </w:div>
    <w:div w:id="1732578831">
      <w:bodyDiv w:val="1"/>
      <w:marLeft w:val="0"/>
      <w:marRight w:val="0"/>
      <w:marTop w:val="0"/>
      <w:marBottom w:val="0"/>
      <w:divBdr>
        <w:top w:val="none" w:sz="0" w:space="0" w:color="auto"/>
        <w:left w:val="none" w:sz="0" w:space="0" w:color="auto"/>
        <w:bottom w:val="none" w:sz="0" w:space="0" w:color="auto"/>
        <w:right w:val="none" w:sz="0" w:space="0" w:color="auto"/>
      </w:divBdr>
    </w:div>
    <w:div w:id="1734039253">
      <w:bodyDiv w:val="1"/>
      <w:marLeft w:val="0"/>
      <w:marRight w:val="0"/>
      <w:marTop w:val="0"/>
      <w:marBottom w:val="0"/>
      <w:divBdr>
        <w:top w:val="none" w:sz="0" w:space="0" w:color="auto"/>
        <w:left w:val="none" w:sz="0" w:space="0" w:color="auto"/>
        <w:bottom w:val="none" w:sz="0" w:space="0" w:color="auto"/>
        <w:right w:val="none" w:sz="0" w:space="0" w:color="auto"/>
      </w:divBdr>
    </w:div>
    <w:div w:id="18603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hfa.gov/SupervisionRegulation/RegulationFederalRegister/Pages/Open-for-Comment.aspx" TargetMode="External"/><Relationship Id="rId21" Type="http://schemas.openxmlformats.org/officeDocument/2006/relationships/hyperlink" Target="https://www.consumerfinance.gov/about-us/newsroom/cfpb-report-finds-many-college-sponsored-financial-products-charge-high-and-unusual-fees/" TargetMode="External"/><Relationship Id="rId42" Type="http://schemas.openxmlformats.org/officeDocument/2006/relationships/hyperlink" Target="https://news.cuna.org/articles/122894-courts-grants-credit-union-motion-to-intervene-in-1071-lawsuit" TargetMode="External"/><Relationship Id="rId47" Type="http://schemas.openxmlformats.org/officeDocument/2006/relationships/hyperlink" Target="https://news.cuna.org/articles/123223-cuna-led-litigation-results-in-nationwide-stay-of-cfpbs-1071-rule" TargetMode="External"/><Relationship Id="rId63" Type="http://schemas.openxmlformats.org/officeDocument/2006/relationships/hyperlink" Target="https://compliancecommunity.cuna.org/compliancecommunity/communityblogs/blogs" TargetMode="External"/><Relationship Id="rId68" Type="http://schemas.openxmlformats.org/officeDocument/2006/relationships/hyperlink" Target="https://www.cuna.org/content/cuna/cuna-org/advocacy/letters---testimonies/letters-2023/cuna-comments-on-ncua-proposal-on-share-insurance-rules.html" TargetMode="External"/><Relationship Id="rId84" Type="http://schemas.openxmlformats.org/officeDocument/2006/relationships/hyperlink" Target="https://www.federalregister.gov/documents/2023/10/23/2023-23449/proposal-of-special-measure-regarding-convertible-virtual-currency-mixing-as-a-class-of-transactions" TargetMode="External"/><Relationship Id="rId89" Type="http://schemas.openxmlformats.org/officeDocument/2006/relationships/hyperlink" Target="https://www.federalreserve.gov/newsevents/pressreleases/bcreg20231025a.htm" TargetMode="External"/><Relationship Id="rId112" Type="http://schemas.openxmlformats.org/officeDocument/2006/relationships/hyperlink" Target="https://www.reginfo.gov/public/do/eAgendaMain?operation=OPERATION_GET_AGENCY_RULE_LIST&amp;currentPub=true&amp;agencyCode=&amp;showStage=active&amp;agencyCd=7100&amp;csrf_token=B2F5F68C4A001C71CA153CADCA0175E8317E4C61F187260C392EDDB232FA89F741F9A4EF9F06AB4A983DE90D87735A00CEB6" TargetMode="External"/><Relationship Id="rId16" Type="http://schemas.openxmlformats.org/officeDocument/2006/relationships/hyperlink" Target="https://ncua.gov/newsroom/press-release/2023/ncua-prohibits-one-individual-participating-affairs-any-federally-insured-depository-institution-2" TargetMode="External"/><Relationship Id="rId107" Type="http://schemas.openxmlformats.org/officeDocument/2006/relationships/hyperlink" Target="https://www.federalregister.gov/agencies/community-development-financial-institutions-fund" TargetMode="External"/><Relationship Id="rId11" Type="http://schemas.openxmlformats.org/officeDocument/2006/relationships/hyperlink" Target="https://ncua.gov/files/agenda-items/overhead-transfer-rate-methodology-request-comment-20231214.pdf" TargetMode="External"/><Relationship Id="rId32" Type="http://schemas.openxmlformats.org/officeDocument/2006/relationships/hyperlink" Target="https://www.fincen.gov/news/news-releases/fact-sheet-beneficial-ownership-information-access-and-safeguards-final-rule" TargetMode="External"/><Relationship Id="rId37" Type="http://schemas.openxmlformats.org/officeDocument/2006/relationships/hyperlink" Target="https://www.fincen.gov/news/news-releases/fincen-issues-analysis-identity-related-suspicious-activity" TargetMode="External"/><Relationship Id="rId53" Type="http://schemas.openxmlformats.org/officeDocument/2006/relationships/hyperlink" Target="https://www.reginfo.gov/public/do/eAgendaMain?operation=OPERATION_GET_AGENCY_RULE_LIST&amp;currentPub=true&amp;agencyCode=&amp;showStage=active&amp;agencyCd=3133&amp;csrf_token=A6861DA1B581D1517DD3D3585BFD527D545E9439F0999C06142583784B5C13B170773FD7DEE89002954309FB0A0287827DB9" TargetMode="External"/><Relationship Id="rId58" Type="http://schemas.openxmlformats.org/officeDocument/2006/relationships/hyperlink" Target="https://www.consumerfinancemonitor.com/2023/12/07/cfpb-fall-2023-rulemaking-agenda-indicates-imminent-issuance-of-final-credit-card-late-fees-rule-and-proposed-rules-on-overdraft-and-nsf-fees/" TargetMode="External"/><Relationship Id="rId74" Type="http://schemas.openxmlformats.org/officeDocument/2006/relationships/hyperlink" Target="https://www.nafcu.org/americas-credit-unions-comment-letter-ftc-unfair-or-deceptive-fees-File" TargetMode="External"/><Relationship Id="rId79" Type="http://schemas.openxmlformats.org/officeDocument/2006/relationships/hyperlink" Target="https://www.cuna.org/advocacy/letters---testimonies.html?r=-1&amp;sortBy=date" TargetMode="External"/><Relationship Id="rId102" Type="http://schemas.openxmlformats.org/officeDocument/2006/relationships/hyperlink" Target="https://www.regulations.gov/search?agencyIds=CFPB&amp;documentTypes=Proposed%20Rule&amp;filter=%20&amp;sortBy=commentEndDate&amp;sortDirection=desc" TargetMode="External"/><Relationship Id="rId123" Type="http://schemas.openxmlformats.org/officeDocument/2006/relationships/hyperlink" Target="https://www.reginfo.gov/public/do/eAgendaMain?operation=OPERATION_GET_AGENCY_RULE_LIST&amp;currentPub=true&amp;agencyCode=&amp;showStage=active&amp;agencyCd=2500&amp;csrf_token=B2F5F68C4A001C71CA153CADCA0175E8317E4C61F187260C392EDDB232FA89F741F9A4EF9F06AB4A983DE90D87735A00CEB6" TargetMode="External"/><Relationship Id="rId128" Type="http://schemas.openxmlformats.org/officeDocument/2006/relationships/hyperlink" Target="https://www.regulations.gov/search?agencyIds=FCC&amp;documentTypes=Proposed%20Rule&amp;filter=%20&amp;sortBy=commentEndDate&amp;sortDirection=desc" TargetMode="External"/><Relationship Id="rId5" Type="http://schemas.openxmlformats.org/officeDocument/2006/relationships/image" Target="media/image1.png"/><Relationship Id="rId90" Type="http://schemas.openxmlformats.org/officeDocument/2006/relationships/hyperlink" Target="https://www.federalregister.gov/documents/2023/11/14/2023-24034/debit-card-interchange-fees-and-routing" TargetMode="External"/><Relationship Id="rId95" Type="http://schemas.openxmlformats.org/officeDocument/2006/relationships/hyperlink" Target="https://www.reginfo.gov/public/do/eAgendaMain?operation=OPERATION_GET_AGENCY_RULE_LIST&amp;currentPub=true&amp;agencyCode=&amp;showStage=active&amp;agencyCd=3133&amp;csrf_token=B2F5F68C4A001C71CA153CADCA0175E8317E4C61F187260C392EDDB232FA89F741F9A4EF9F06AB4A983DE90D87735A00CEB6" TargetMode="External"/><Relationship Id="rId22" Type="http://schemas.openxmlformats.org/officeDocument/2006/relationships/hyperlink" Target="https://www.consumerfinance.gov/about-us/newsroom/cfpb-orders-us-bank-to-pay-21-million-for-illegal-conduct-during-covid-19-pandemic/" TargetMode="External"/><Relationship Id="rId27" Type="http://schemas.openxmlformats.org/officeDocument/2006/relationships/hyperlink" Target="https://www.consumerfinance.gov/about-us/newsroom/cfpb-report-identifies-challenges-faced-by-borrowers-in-resumption-of-student-loan-payments/" TargetMode="External"/><Relationship Id="rId43" Type="http://schemas.openxmlformats.org/officeDocument/2006/relationships/hyperlink" Target="https://news.cuna.org/articles/122902-cuna-files-for-preliminary-injunction-of-cfpbs-1071-rule-for-credit-unions" TargetMode="External"/><Relationship Id="rId48" Type="http://schemas.openxmlformats.org/officeDocument/2006/relationships/hyperlink" Target="https://www.nafcu.org/newsroom/house-passes-resolution-block-1071-rule" TargetMode="External"/><Relationship Id="rId64" Type="http://schemas.openxmlformats.org/officeDocument/2006/relationships/hyperlink" Target="https://www.americascreditunions.org/compliance-blog/" TargetMode="External"/><Relationship Id="rId69" Type="http://schemas.openxmlformats.org/officeDocument/2006/relationships/hyperlink" Target="https://www.federalregister.gov/documents/2023/10/31/2023-23576/required-rulemaking-on-personal-financial-data-rights?utm_campaign=subscription+mailing+list&amp;utm_medium=email&amp;utm_source=federalregister.gov" TargetMode="External"/><Relationship Id="rId113" Type="http://schemas.openxmlformats.org/officeDocument/2006/relationships/hyperlink" Target="https://www.federalreserve.gov/apps/foia/proposedregs.aspx" TargetMode="External"/><Relationship Id="rId118" Type="http://schemas.openxmlformats.org/officeDocument/2006/relationships/hyperlink" Target="https://www.federalregister.gov/agencies/federal-housing-finance-agency" TargetMode="External"/><Relationship Id="rId80" Type="http://schemas.openxmlformats.org/officeDocument/2006/relationships/hyperlink" Target="https://www.nafcu.org/advocacy/letters-and-comments" TargetMode="External"/><Relationship Id="rId85" Type="http://schemas.openxmlformats.org/officeDocument/2006/relationships/hyperlink" Target="https://www.regulations.gov/document/FINCEN-2023-0016-0001" TargetMode="External"/><Relationship Id="rId12" Type="http://schemas.openxmlformats.org/officeDocument/2006/relationships/hyperlink" Target="https://ncua.gov/regulation-supervision/letters-credit-unions-other-guidance/technical-correction-cecl-transition-amount" TargetMode="External"/><Relationship Id="rId17" Type="http://schemas.openxmlformats.org/officeDocument/2006/relationships/hyperlink" Target="https://www.federalregister.gov/documents/2023/12/28/2023-25646/rules-of-practice-and-procedure" TargetMode="External"/><Relationship Id="rId33" Type="http://schemas.openxmlformats.org/officeDocument/2006/relationships/hyperlink" Target="https://www.fincen.gov/sites/default/files/shared/Interagency_Statement_for_Banks_On_the_Issuance_of_the_Access_Rule_12.15.2023.v2.pdf" TargetMode="External"/><Relationship Id="rId38" Type="http://schemas.openxmlformats.org/officeDocument/2006/relationships/hyperlink" Target="https://www.fincen.gov/sites/default/files/shared/FTA_Identity_Final508.pdf" TargetMode="External"/><Relationship Id="rId59" Type="http://schemas.openxmlformats.org/officeDocument/2006/relationships/hyperlink" Target="https://www.nafcu.org/compliance-blog" TargetMode="External"/><Relationship Id="rId103" Type="http://schemas.openxmlformats.org/officeDocument/2006/relationships/hyperlink" Target="https://www.reginfo.gov/public/do/eAgendaMain?operation=OPERATION_GET_AGENCY_RULE_LIST&amp;currentPub=true&amp;agencyCode=&amp;showStage=active&amp;agencyCd=1500&amp;csrf_token=B2F5F68C4A001C71CA153CADCA0175E8317E4C61F187260C392EDDB232FA89F741F9A4EF9F06AB4A983DE90D87735A00CEB6" TargetMode="External"/><Relationship Id="rId108" Type="http://schemas.openxmlformats.org/officeDocument/2006/relationships/hyperlink" Target="https://www.regulations.gov/search?agencyIds=CDFI&amp;documentTypes=Proposed%20Rule&amp;filter=%20&amp;sortBy=commentEndDate&amp;sortDirection=desc" TargetMode="External"/><Relationship Id="rId124" Type="http://schemas.openxmlformats.org/officeDocument/2006/relationships/hyperlink" Target="https://www.federalregister.gov/agencies/housing-and-urban-development-department" TargetMode="External"/><Relationship Id="rId129" Type="http://schemas.openxmlformats.org/officeDocument/2006/relationships/fontTable" Target="fontTable.xml"/><Relationship Id="rId54" Type="http://schemas.openxmlformats.org/officeDocument/2006/relationships/hyperlink" Target="https://www.reginfo.gov/public/do/eAgendaMain?operation=OPERATION_GET_AGENCY_RULE_LIST&amp;currentPub=true&amp;agencyCode=&amp;showStage=active&amp;agencyCd=3170&amp;csrf_token=A6861DA1B581D1517DD3D3585BFD527D545E9439F0999C06142583784B5C13B170773FD7DEE89002954309FB0A0287827DB9" TargetMode="External"/><Relationship Id="rId70" Type="http://schemas.openxmlformats.org/officeDocument/2006/relationships/hyperlink" Target="https://www.cuna.org/content/cuna/cuna-org/advocacy/letters---testimonies/letters-2023/cuna-and-nafcu-write-cfpb-about-section-1033-personal-financial-.html" TargetMode="External"/><Relationship Id="rId75" Type="http://schemas.openxmlformats.org/officeDocument/2006/relationships/hyperlink" Target="https://www.federalregister.gov/documents/2023/11/17/2023-24978/defining-larger-participants-of-a-market-for-general-use-digital-consumer-payment-applications" TargetMode="External"/><Relationship Id="rId91" Type="http://schemas.openxmlformats.org/officeDocument/2006/relationships/hyperlink" Target="https://www.regulations.gov/document/FRS-2023-0269-0001" TargetMode="External"/><Relationship Id="rId96" Type="http://schemas.openxmlformats.org/officeDocument/2006/relationships/hyperlink" Target="https://ncua.gov/regulation-supervision/rulemakings-proposals-comment" TargetMode="External"/><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hyperlink" Target="https://www.consumerfinance.gov/about-us/newsroom/cfpb-issues-report-showing-many-americans-are-surprised-by-overdraft-fees/" TargetMode="External"/><Relationship Id="rId28" Type="http://schemas.openxmlformats.org/officeDocument/2006/relationships/hyperlink" Target="https://www.fincen.gov/news/news-releases/fincen-names-jimmy-kirby-deputy-director" TargetMode="External"/><Relationship Id="rId49" Type="http://schemas.openxmlformats.org/officeDocument/2006/relationships/hyperlink" Target="https://news.cuna.org/articles/123429-biden-vetoes-resolution-to-void-cfpb-section-1071-rule" TargetMode="External"/><Relationship Id="rId114" Type="http://schemas.openxmlformats.org/officeDocument/2006/relationships/hyperlink" Target="https://www.federalregister.gov/agencies/federal-reserve-system" TargetMode="External"/><Relationship Id="rId119" Type="http://schemas.openxmlformats.org/officeDocument/2006/relationships/hyperlink" Target="https://www.regulations.gov/search?agencyIds=FHFA&amp;documentTypes=Proposed%20Rule&amp;filter=%20&amp;sortBy=commentEndDate&amp;sortDirection=desc" TargetMode="External"/><Relationship Id="rId44" Type="http://schemas.openxmlformats.org/officeDocument/2006/relationships/hyperlink" Target="https://news.cuna.org/articles/122975-senators-call-on-cfpb-to-stay-1071-rule-effective-date-for-all-cus" TargetMode="External"/><Relationship Id="rId60" Type="http://schemas.openxmlformats.org/officeDocument/2006/relationships/hyperlink" Target="https://www.nafcu.org/compliance-blog/cfpb-orders-bank-america-pay-12-million" TargetMode="External"/><Relationship Id="rId65" Type="http://schemas.openxmlformats.org/officeDocument/2006/relationships/hyperlink" Target="https://www.americascreditunions.org/2024/01/welcome-to-compliance-at-americas-credit-unions-2/" TargetMode="External"/><Relationship Id="rId81" Type="http://schemas.openxmlformats.org/officeDocument/2006/relationships/hyperlink" Target="https://www.nascus.org/comment-letters/" TargetMode="External"/><Relationship Id="rId86" Type="http://schemas.openxmlformats.org/officeDocument/2006/relationships/hyperlink" Target="https://www.federalreserve.gov/aboutthefed/boardmeetings/debitfees_costs_2021.pdf" TargetMode="External"/><Relationship Id="rId130" Type="http://schemas.openxmlformats.org/officeDocument/2006/relationships/theme" Target="theme/theme1.xml"/><Relationship Id="rId13" Type="http://schemas.openxmlformats.org/officeDocument/2006/relationships/hyperlink" Target="https://ncua.gov/files/agenda-items/AG20210624Item2b.pdf" TargetMode="External"/><Relationship Id="rId18" Type="http://schemas.openxmlformats.org/officeDocument/2006/relationships/hyperlink" Target="https://www.consumerfinance.gov/about-us/newsroom/cfpb-shuts-down-commonwealth-financial-systems-for-illegal-debt-collection-practices/" TargetMode="External"/><Relationship Id="rId39" Type="http://schemas.openxmlformats.org/officeDocument/2006/relationships/hyperlink" Target="https://news.bloomberglaw.com/banking-law/small-business-lending-rule-partially-blocked-by-texas-judge" TargetMode="External"/><Relationship Id="rId109" Type="http://schemas.openxmlformats.org/officeDocument/2006/relationships/hyperlink" Target="https://www.fincen.gov/resources/statutes-regulations/federal-register-notices" TargetMode="External"/><Relationship Id="rId34" Type="http://schemas.openxmlformats.org/officeDocument/2006/relationships/hyperlink" Target="https://ofac.treasury.gov/recent-actions/20231213_33" TargetMode="External"/><Relationship Id="rId50" Type="http://schemas.openxmlformats.org/officeDocument/2006/relationships/hyperlink" Target="https://www.mcul.org/News?article_id=32139" TargetMode="External"/><Relationship Id="rId55" Type="http://schemas.openxmlformats.org/officeDocument/2006/relationships/hyperlink" Target="https://www.reginfo.gov/public/do/eAgendaMain?operation=OPERATION_GET_AGENCY_RULE_LIST&amp;currentPub=true&amp;agencyCode=&amp;showStage=active&amp;agencyCd=1500&amp;csrf_token=A6861DA1B581D1517DD3D3585BFD527D545E9439F0999C06142583784B5C13B170773FD7DEE89002954309FB0A0287827DB9" TargetMode="External"/><Relationship Id="rId76" Type="http://schemas.openxmlformats.org/officeDocument/2006/relationships/hyperlink" Target="https://www.nafcu.org/americas-credit-unions-comment-letter-cfpb-defining-larger-participants-consumer-payment-applications-market-File" TargetMode="External"/><Relationship Id="rId97" Type="http://schemas.openxmlformats.org/officeDocument/2006/relationships/hyperlink" Target="https://www.federalregister.gov/agencies/national-credit-union-administration" TargetMode="External"/><Relationship Id="rId104" Type="http://schemas.openxmlformats.org/officeDocument/2006/relationships/hyperlink" Target="https://www.federalregister.gov/agencies/treasury-department" TargetMode="External"/><Relationship Id="rId120" Type="http://schemas.openxmlformats.org/officeDocument/2006/relationships/hyperlink" Target="https://www.reginfo.gov/public/do/eAgendaMain?operation=OPERATION_GET_AGENCY_RULE_LIST&amp;currentPub=true&amp;agencyCode=&amp;showStage=active&amp;agencyCd=3084&amp;csrf_token=B2F5F68C4A001C71CA153CADCA0175E8317E4C61F187260C392EDDB232FA89F741F9A4EF9F06AB4A983DE90D87735A00CEB6" TargetMode="External"/><Relationship Id="rId125" Type="http://schemas.openxmlformats.org/officeDocument/2006/relationships/hyperlink" Target="https://www.regulations.gov/search?agencyIds=HUD&amp;documentTypes=Proposed%20Rule&amp;filter=%20&amp;sortBy=commentEndDate&amp;sortDirection=desc" TargetMode="External"/><Relationship Id="rId7" Type="http://schemas.openxmlformats.org/officeDocument/2006/relationships/hyperlink" Target="https://ncua.gov/news/events/2024/ncua-host-jan-11-webinar-simplified-cecl-tool" TargetMode="External"/><Relationship Id="rId71" Type="http://schemas.openxmlformats.org/officeDocument/2006/relationships/hyperlink" Target="https://www.federalregister.gov/documents/2023/11/07/2023-23509/fair-hiring-in-banking" TargetMode="External"/><Relationship Id="rId92" Type="http://schemas.openxmlformats.org/officeDocument/2006/relationships/hyperlink" Target="https://ncua.gov/newsroom/press-release/2023/board-approves-ncua-2024-2025-and-central-liquidity-facility-budgets" TargetMode="External"/><Relationship Id="rId2" Type="http://schemas.openxmlformats.org/officeDocument/2006/relationships/styles" Target="styles.xml"/><Relationship Id="rId29" Type="http://schemas.openxmlformats.org/officeDocument/2006/relationships/hyperlink" Target="https://www.federalregister.gov/documents/2023/12/15/2023-27620/bank-secrecy-act-advisory-group-solicitation-of-application-for-membership?utm_campaign=subscription+mailing+list&amp;utm_medium=email&amp;utm_source=federalregister.gov" TargetMode="External"/><Relationship Id="rId24" Type="http://schemas.openxmlformats.org/officeDocument/2006/relationships/hyperlink" Target="https://www.consumerfinance.gov/about-us/newsroom/cfpb-and-doj-sue-developer-and-lender-colony-ridge-for-bait-and-switch-land-sales-and-predatory-financing/" TargetMode="External"/><Relationship Id="rId40" Type="http://schemas.openxmlformats.org/officeDocument/2006/relationships/hyperlink" Target="https://news.cuna.org/articles/122852-cfpb-should-delay-1071-rule-implementation-for-all-covered-entities" TargetMode="External"/><Relationship Id="rId45" Type="http://schemas.openxmlformats.org/officeDocument/2006/relationships/hyperlink" Target="https://news.cuna.org/articles/123191-senate-passes-resolution-of-disapproval-for-cfpbs-1071-rule" TargetMode="External"/><Relationship Id="rId66" Type="http://schemas.openxmlformats.org/officeDocument/2006/relationships/hyperlink" Target="https://www.federalregister.gov/documents/2023/10/25/2023-23481/simplification-of-share-insurance-rules" TargetMode="External"/><Relationship Id="rId87" Type="http://schemas.openxmlformats.org/officeDocument/2006/relationships/hyperlink" Target="https://www.federalreserve.gov/newsevents/pressreleases/bowman-statement-20231025.htm" TargetMode="External"/><Relationship Id="rId110" Type="http://schemas.openxmlformats.org/officeDocument/2006/relationships/hyperlink" Target="https://www.federalregister.gov/agencies/financial-crimes-enforcement-network" TargetMode="External"/><Relationship Id="rId115" Type="http://schemas.openxmlformats.org/officeDocument/2006/relationships/hyperlink" Target="https://www.regulations.gov/search?agencyIds=FRS&amp;documentTypes=Proposed%20Rule&amp;filter=%20&amp;sortBy=commentEndDate&amp;sortDirection=desc" TargetMode="External"/><Relationship Id="rId61" Type="http://schemas.openxmlformats.org/officeDocument/2006/relationships/hyperlink" Target="https://www.nafcu.org/compliance-blog/additional-fair-lending-requirements-cdfis-car-sales-rule" TargetMode="External"/><Relationship Id="rId82" Type="http://schemas.openxmlformats.org/officeDocument/2006/relationships/hyperlink" Target="mailto:Bradley.Willett@mcul.org" TargetMode="External"/><Relationship Id="rId19" Type="http://schemas.openxmlformats.org/officeDocument/2006/relationships/hyperlink" Target="https://www.consumerfinance.gov/rules-policy/final-rules/home-mortgage-disclosure-regulation-c-adjustment-asset-size-exemption-threshold/" TargetMode="External"/><Relationship Id="rId14" Type="http://schemas.openxmlformats.org/officeDocument/2006/relationships/hyperlink" Target="https://www.nafcu.org/newsroom/senate-confirms-otsuka-ncua-board" TargetMode="External"/><Relationship Id="rId30" Type="http://schemas.openxmlformats.org/officeDocument/2006/relationships/hyperlink" Target="https://www.fincen.gov/news/news-releases/fincen-issues-final-rule-regarding-access-beneficial-ownership-information" TargetMode="External"/><Relationship Id="rId35" Type="http://schemas.openxmlformats.org/officeDocument/2006/relationships/hyperlink" Target="https://www.cdfifund.gov/news/556" TargetMode="External"/><Relationship Id="rId56" Type="http://schemas.openxmlformats.org/officeDocument/2006/relationships/hyperlink" Target="https://www.reginfo.gov/public/do/eAgendaMain?operation=OPERATION_GET_AGENCY_RULE_LIST&amp;currentPub=true&amp;agencyCode=&amp;showStage=active&amp;agencyCd=7100&amp;csrf_token=A6861DA1B581D1517DD3D3585BFD527D545E9439F0999C06142583784B5C13B170773FD7DEE89002954309FB0A0287827DB9" TargetMode="External"/><Relationship Id="rId77" Type="http://schemas.openxmlformats.org/officeDocument/2006/relationships/hyperlink" Target="https://www.nafcu.org/joint-letter-fhfa-credit-score-testing-data-transparency-File" TargetMode="External"/><Relationship Id="rId100" Type="http://schemas.openxmlformats.org/officeDocument/2006/relationships/hyperlink" Target="https://www.consumerfinance.gov/rules-policy/notice-opportunities-comment/open-notices/" TargetMode="External"/><Relationship Id="rId105" Type="http://schemas.openxmlformats.org/officeDocument/2006/relationships/hyperlink" Target="https://www.regulations.gov/search?agencyIds=TREAS&amp;documentTypes=Proposed%20Rule&amp;filter=%20&amp;sortBy=commentEndDate&amp;sortDirection=desc" TargetMode="External"/><Relationship Id="rId126" Type="http://schemas.openxmlformats.org/officeDocument/2006/relationships/hyperlink" Target="https://www.fcc.gov/proposed-rulemakings" TargetMode="External"/><Relationship Id="rId8" Type="http://schemas.openxmlformats.org/officeDocument/2006/relationships/hyperlink" Target="https://ncua.gov/files/publications/2022-cudsa-report.pdf" TargetMode="External"/><Relationship Id="rId51" Type="http://schemas.openxmlformats.org/officeDocument/2006/relationships/hyperlink" Target="https://www.nafcu.org/newsroom/agencies-release-fall-rulemaking-agendas?utm_campaign=daily%20news&amp;utm_medium=Email&amp;_hsmi=285734864&amp;utm_source=HS%20NAFCU%20Today" TargetMode="External"/><Relationship Id="rId72" Type="http://schemas.openxmlformats.org/officeDocument/2006/relationships/hyperlink" Target="https://www.nafcu.org/americas-credit-unions-comment-letter-ncua-fair-hiring-banking-File" TargetMode="External"/><Relationship Id="rId93" Type="http://schemas.openxmlformats.org/officeDocument/2006/relationships/hyperlink" Target="https://www.federalregister.gov/documents/2023/12/20/2023-28000/request-for-comment-regarding-overhead-transfer-rate-methodology" TargetMode="External"/><Relationship Id="rId98" Type="http://schemas.openxmlformats.org/officeDocument/2006/relationships/hyperlink" Target="https://www.regulations.gov/search?agencyIds=NCUA&amp;documentTypes=Proposed%20Rule&amp;filter=%20&amp;sortBy=commentEndDate&amp;sortDirection=desc" TargetMode="External"/><Relationship Id="rId121" Type="http://schemas.openxmlformats.org/officeDocument/2006/relationships/hyperlink" Target="https://www.federalregister.gov/agencies/federal-trade-commission" TargetMode="External"/><Relationship Id="rId3" Type="http://schemas.openxmlformats.org/officeDocument/2006/relationships/settings" Target="settings.xml"/><Relationship Id="rId25" Type="http://schemas.openxmlformats.org/officeDocument/2006/relationships/hyperlink" Target="https://ffiec.cfpb.gov/filing/2023/" TargetMode="External"/><Relationship Id="rId46" Type="http://schemas.openxmlformats.org/officeDocument/2006/relationships/hyperlink" Target="https://www.whitehouse.gov/wp-content/uploads/2023/10/SJRes32-SAP.pdf" TargetMode="External"/><Relationship Id="rId67" Type="http://schemas.openxmlformats.org/officeDocument/2006/relationships/hyperlink" Target="https://www.nafcu.org/comment-letter-ncua-simplification-share-insurance-rules-File" TargetMode="External"/><Relationship Id="rId116" Type="http://schemas.openxmlformats.org/officeDocument/2006/relationships/hyperlink" Target="https://www.reginfo.gov/public/do/eAgendaMain?operation=OPERATION_GET_AGENCY_RULE_LIST&amp;currentPub=true&amp;agencyCode=&amp;showStage=active&amp;agencyCd=2590&amp;csrf_token=B2F5F68C4A001C71CA153CADCA0175E8317E4C61F187260C392EDDB232FA89F741F9A4EF9F06AB4A983DE90D87735A00CEB6" TargetMode="External"/><Relationship Id="rId20" Type="http://schemas.openxmlformats.org/officeDocument/2006/relationships/hyperlink" Target="https://www.consumerfinance.gov/rules-policy/final-rules/truth-lending-act-regulation-z-adjustment-asset-size-exemption-threshold/" TargetMode="External"/><Relationship Id="rId41" Type="http://schemas.openxmlformats.org/officeDocument/2006/relationships/hyperlink" Target="https://news.cuna.org/articles/122865-cuna-urges-parity-by-filing-motion-to-intervene-in-district-court-1071-ruling" TargetMode="External"/><Relationship Id="rId62" Type="http://schemas.openxmlformats.org/officeDocument/2006/relationships/hyperlink" Target="https://www.nafcu.org/compliance-blog/oral-consent-regulation-e-overdraft-opt" TargetMode="External"/><Relationship Id="rId83" Type="http://schemas.openxmlformats.org/officeDocument/2006/relationships/hyperlink" Target="https://www.fincen.gov/news/news-releases/fincen-proposes-new-regulation-enhance-transparency-convertible-virtual-currency" TargetMode="External"/><Relationship Id="rId88" Type="http://schemas.openxmlformats.org/officeDocument/2006/relationships/hyperlink" Target="https://www.nafcu.org/system/files/files/Joint%20Extension%20Request%20-%202023%20Fed%20Debit%20Card%20Interchange%20Price%20Cap%20NPRM.pdf" TargetMode="External"/><Relationship Id="rId111" Type="http://schemas.openxmlformats.org/officeDocument/2006/relationships/hyperlink" Target="https://www.regulations.gov/search?agencyIds=FINCEN&amp;documentTypes=Proposed%20Rule&amp;filter=%20&amp;sortBy=commentEndDate&amp;sortDirection=desc" TargetMode="External"/><Relationship Id="rId15" Type="http://schemas.openxmlformats.org/officeDocument/2006/relationships/hyperlink" Target="https://ncua.gov/newsroom/press-release/2024/otsuka-sworn-25th-ncua-board-member" TargetMode="External"/><Relationship Id="rId36" Type="http://schemas.openxmlformats.org/officeDocument/2006/relationships/hyperlink" Target="https://www.cdfifund.gov/news/557" TargetMode="External"/><Relationship Id="rId57" Type="http://schemas.openxmlformats.org/officeDocument/2006/relationships/hyperlink" Target="https://www.nafcu.org/newsroom/icymi-nafcu-breaks-down-financial-regulator-rulemaking-agendas-cus" TargetMode="External"/><Relationship Id="rId106" Type="http://schemas.openxmlformats.org/officeDocument/2006/relationships/hyperlink" Target="https://www.cdfifund.gov/requests-for-comments" TargetMode="External"/><Relationship Id="rId127" Type="http://schemas.openxmlformats.org/officeDocument/2006/relationships/hyperlink" Target="https://www.federalregister.gov/agencies/federal-communications-commission" TargetMode="External"/><Relationship Id="rId10" Type="http://schemas.openxmlformats.org/officeDocument/2006/relationships/hyperlink" Target="https://ncua.gov/files/agenda-items/operating-fee-schedule-methodology-notice-20231214.pdf" TargetMode="External"/><Relationship Id="rId31" Type="http://schemas.openxmlformats.org/officeDocument/2006/relationships/hyperlink" Target="https://www.federalregister.gov/public-inspection/2023-27973/beneficial-ownership-information-access-and-safeguards" TargetMode="External"/><Relationship Id="rId52" Type="http://schemas.openxmlformats.org/officeDocument/2006/relationships/hyperlink" Target="https://www.reginfo.gov/public/do/eAgendaMain" TargetMode="External"/><Relationship Id="rId73" Type="http://schemas.openxmlformats.org/officeDocument/2006/relationships/hyperlink" Target="https://www.federalregister.gov/documents/2023/11/09/2023-24234/trade-regulation-rule-on-unfair-or-deceptive-fees" TargetMode="External"/><Relationship Id="rId78" Type="http://schemas.openxmlformats.org/officeDocument/2006/relationships/hyperlink" Target="https://www.mcul.org/comment-letters" TargetMode="External"/><Relationship Id="rId94" Type="http://schemas.openxmlformats.org/officeDocument/2006/relationships/hyperlink" Target="https://www.regulations.gov/document/NCUA-2023-0142-0001" TargetMode="External"/><Relationship Id="rId99" Type="http://schemas.openxmlformats.org/officeDocument/2006/relationships/hyperlink" Target="https://www.reginfo.gov/public/do/eAgendaMain?operation=OPERATION_GET_AGENCY_RULE_LIST&amp;currentPub=true&amp;agencyCode=&amp;showStage=active&amp;agencyCd=3170&amp;csrf_token=B2F5F68C4A001C71CA153CADCA0175E8317E4C61F187260C392EDDB232FA89F741F9A4EF9F06AB4A983DE90D87735A00CEB6" TargetMode="External"/><Relationship Id="rId101" Type="http://schemas.openxmlformats.org/officeDocument/2006/relationships/hyperlink" Target="https://www.federalregister.gov/agencies/consumer-financial-protection-bureau" TargetMode="External"/><Relationship Id="rId122" Type="http://schemas.openxmlformats.org/officeDocument/2006/relationships/hyperlink" Target="https://www.regulations.gov/search?agencyIds=FTC&amp;documentTypes=Proposed%20Rule&amp;filter=%20&amp;sortBy=commentEndDate&amp;sortDirection=desc" TargetMode="External"/><Relationship Id="rId4" Type="http://schemas.openxmlformats.org/officeDocument/2006/relationships/webSettings" Target="webSettings.xml"/><Relationship Id="rId9" Type="http://schemas.openxmlformats.org/officeDocument/2006/relationships/hyperlink" Target="https://ncua.gov/newsroom/press-release/2023/board-approves-ncua-2024-2025-and-central-liquidity-facility-budgets" TargetMode="External"/><Relationship Id="rId26" Type="http://schemas.openxmlformats.org/officeDocument/2006/relationships/hyperlink" Target="https://s3.amazonaws.com/cfpb-hmda-public/prod/help/2023-hmda-fi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5977</Words>
  <Characters>34075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Willett</dc:creator>
  <cp:keywords/>
  <dc:description/>
  <cp:lastModifiedBy>Bradley Willett</cp:lastModifiedBy>
  <cp:revision>18</cp:revision>
  <dcterms:created xsi:type="dcterms:W3CDTF">2024-01-09T16:38:00Z</dcterms:created>
  <dcterms:modified xsi:type="dcterms:W3CDTF">2024-01-09T19:24:00Z</dcterms:modified>
</cp:coreProperties>
</file>